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D" w:rsidRDefault="00CE534D" w:rsidP="00CE534D">
      <w:pPr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534D" w:rsidRDefault="00CE534D" w:rsidP="00CE534D">
      <w:pPr>
        <w:tabs>
          <w:tab w:val="left" w:pos="2632"/>
        </w:tabs>
        <w:spacing w:after="0" w:line="240" w:lineRule="auto"/>
        <w:ind w:left="10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534D" w:rsidRPr="003639E9" w:rsidRDefault="00CE534D" w:rsidP="00CE534D">
      <w:pPr>
        <w:widowControl w:val="0"/>
        <w:tabs>
          <w:tab w:val="lef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21C94" w:rsidRPr="00621C94" w:rsidRDefault="00621C94" w:rsidP="00621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C9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621C94" w:rsidRPr="00621C94" w:rsidRDefault="00621C94" w:rsidP="00621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C94" w:rsidRPr="00621C94" w:rsidRDefault="00621C94" w:rsidP="00621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C94" w:rsidRPr="00621C94" w:rsidRDefault="00621C94" w:rsidP="00621C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C9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621C94" w:rsidRPr="00621C94" w:rsidRDefault="00621C94" w:rsidP="00621C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621C94">
        <w:rPr>
          <w:rFonts w:ascii="Cambria" w:eastAsia="Cambria" w:hAnsi="Cambria" w:cs="Cambria"/>
          <w:sz w:val="28"/>
          <w:szCs w:val="28"/>
          <w:lang w:eastAsia="ru-RU"/>
        </w:rPr>
        <w:t>«2</w:t>
      </w:r>
      <w:r w:rsidRPr="00621C94">
        <w:rPr>
          <w:rFonts w:ascii="Cambria" w:eastAsia="Cambria" w:hAnsi="Cambria" w:cs="Cambria"/>
          <w:sz w:val="28"/>
          <w:szCs w:val="28"/>
          <w:lang w:eastAsia="ru-RU"/>
        </w:rPr>
        <w:t>8</w:t>
      </w:r>
      <w:r w:rsidRPr="00621C94">
        <w:rPr>
          <w:rFonts w:ascii="Cambria" w:eastAsia="Cambria" w:hAnsi="Cambria" w:cs="Cambria"/>
          <w:sz w:val="28"/>
          <w:szCs w:val="28"/>
          <w:lang w:eastAsia="ru-RU"/>
        </w:rPr>
        <w:t xml:space="preserve">»декабря  </w:t>
      </w:r>
      <w:r w:rsidRPr="00621C94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CE534D" w:rsidRPr="00621C94" w:rsidRDefault="00CE534D" w:rsidP="00CE5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621C94" w:rsidRDefault="00CE534D" w:rsidP="0062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прогноз сельского поселения </w:t>
      </w:r>
      <w:r w:rsid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Дурасовский  сельсовет муниципального района Чишминский район Республики Башкортостан на долгосрочный период до 2025 года, утвержденный постановлением сельского поселения Дурасовский сельсовет </w:t>
      </w:r>
      <w:r w:rsid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                                          </w:t>
      </w:r>
    </w:p>
    <w:p w:rsidR="00CE534D" w:rsidRPr="00621C94" w:rsidRDefault="00CE534D" w:rsidP="0062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сентября  2019 года № 73</w:t>
      </w:r>
    </w:p>
    <w:p w:rsidR="00CE534D" w:rsidRPr="00621C94" w:rsidRDefault="00CE534D" w:rsidP="00621C94">
      <w:pPr>
        <w:spacing w:after="0" w:line="240" w:lineRule="auto"/>
        <w:ind w:left="10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34D" w:rsidRPr="00621C94" w:rsidRDefault="00CE534D" w:rsidP="00621C94">
      <w:pPr>
        <w:spacing w:after="0" w:line="240" w:lineRule="auto"/>
        <w:ind w:left="10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534D" w:rsidRPr="00EA3AD3" w:rsidRDefault="00CE534D" w:rsidP="00CE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A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абзацем 2 пункта 2 и пунктом 9 Порядка разработки и утверждения бюджетного прогноза сельского поселения Дурасовский сельсовет муниципального района Чишминский район Республики Башкортостан на долгосрочный период, утвержденного постановлением Администрация сельского поселения Дурасовский сельсовет муниципального района  Чишминский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A3AD3"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3AD3">
        <w:rPr>
          <w:rFonts w:ascii="Times New Roman" w:eastAsia="Times New Roman" w:hAnsi="Times New Roman" w:cs="Times New Roman"/>
          <w:sz w:val="28"/>
          <w:szCs w:val="28"/>
        </w:rPr>
        <w:t>3, Администрация сельского поселения Дурасовский сельсовет муниципального района  Чишминский район Республики Башкортостан</w:t>
      </w:r>
      <w:proofErr w:type="gramEnd"/>
    </w:p>
    <w:p w:rsidR="00CE534D" w:rsidRPr="00EA3AD3" w:rsidRDefault="00CE534D" w:rsidP="00CE534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4D" w:rsidRPr="00EA3AD3" w:rsidRDefault="00CE534D" w:rsidP="00CE53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4D" w:rsidRPr="00EA3AD3" w:rsidRDefault="00CE534D" w:rsidP="00CE53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534D" w:rsidRPr="00EA3AD3" w:rsidRDefault="00CE534D" w:rsidP="00CE534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4D" w:rsidRPr="00EA3AD3" w:rsidRDefault="00CE534D" w:rsidP="00CE534D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№1 и №2 к бюджетному прогнозу сельского поселения Дурасовский сельсовет муниципального района Чишминский район Республики Башкортостан на долгосрочный период до 2025 года, утвержденного  </w:t>
      </w:r>
      <w:r w:rsidRPr="00EA3A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Дурасов</w:t>
      </w:r>
      <w:r w:rsidRPr="00EA3AD3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муниципального района  Чишминский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06 сентября  2019 года № 7</w:t>
      </w:r>
      <w:r w:rsidRPr="00EA3AD3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E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новой редакции согласно приложениям №1 и №2 к настоящему постановлению.</w:t>
      </w:r>
      <w:proofErr w:type="gramEnd"/>
    </w:p>
    <w:p w:rsidR="00CE534D" w:rsidRPr="00EA3AD3" w:rsidRDefault="00CE534D" w:rsidP="00CE534D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A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 за  собой. </w:t>
      </w:r>
    </w:p>
    <w:p w:rsidR="00CE534D" w:rsidRPr="00EA3AD3" w:rsidRDefault="00CE534D" w:rsidP="00CE53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534D" w:rsidRPr="00EA3AD3" w:rsidRDefault="00CE534D" w:rsidP="00CE5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534D" w:rsidRPr="00EA3AD3" w:rsidRDefault="00CE534D" w:rsidP="00CE5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C5913" w:rsidRPr="002C5913" w:rsidRDefault="002C5913" w:rsidP="002C5913">
      <w:pPr>
        <w:tabs>
          <w:tab w:val="num" w:pos="360"/>
        </w:tabs>
        <w:spacing w:after="0" w:line="240" w:lineRule="auto"/>
        <w:ind w:right="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13" w:rsidRPr="002C5913" w:rsidRDefault="002C5913" w:rsidP="002C5913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2C5913" w:rsidRPr="002C5913" w:rsidRDefault="002C5913" w:rsidP="002C5913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</w:t>
      </w:r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5913" w:rsidRPr="002C5913" w:rsidRDefault="002C5913" w:rsidP="002C5913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2C5913" w:rsidRPr="002C5913" w:rsidRDefault="002C5913" w:rsidP="002C5913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  <w:r w:rsidRPr="002C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C5913" w:rsidRPr="002C5913" w:rsidRDefault="002C5913" w:rsidP="002C5913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4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0"/>
        <w:gridCol w:w="6001"/>
        <w:gridCol w:w="284"/>
        <w:gridCol w:w="1134"/>
        <w:gridCol w:w="673"/>
        <w:gridCol w:w="446"/>
        <w:gridCol w:w="317"/>
        <w:gridCol w:w="508"/>
        <w:gridCol w:w="167"/>
        <w:gridCol w:w="753"/>
        <w:gridCol w:w="239"/>
        <w:gridCol w:w="992"/>
        <w:gridCol w:w="440"/>
        <w:gridCol w:w="553"/>
        <w:gridCol w:w="827"/>
        <w:gridCol w:w="165"/>
        <w:gridCol w:w="992"/>
        <w:gridCol w:w="142"/>
        <w:gridCol w:w="850"/>
      </w:tblGrid>
      <w:tr w:rsidR="00CE534D" w:rsidRPr="00B61579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сельского поселения Дурасовский сельсовет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г.</w:t>
            </w: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CE534D" w:rsidRPr="00B61579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бюджетному прогнозу</w:t>
            </w: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Дурасовский сельсовет</w:t>
            </w:r>
          </w:p>
        </w:tc>
      </w:tr>
      <w:tr w:rsidR="00CE534D" w:rsidRPr="00B61579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 </w:t>
            </w:r>
          </w:p>
        </w:tc>
      </w:tr>
      <w:tr w:rsidR="00CE534D" w:rsidRPr="00B61579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до 2025 года</w:t>
            </w:r>
          </w:p>
          <w:p w:rsidR="00CE534D" w:rsidRPr="00B61579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0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основных характеристик бюджета сельского поселения Дурасовский сельсовет муниципального района Чишминский район Республики Башкортостан на долгосрочный период до 2025 года</w:t>
            </w:r>
          </w:p>
        </w:tc>
      </w:tr>
      <w:tr w:rsidR="00CE534D" w:rsidRPr="00621C94" w:rsidTr="004B7802">
        <w:trPr>
          <w:gridAfter w:val="1"/>
          <w:wAfter w:w="850" w:type="dxa"/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–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3641,8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972,0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434,8</w:t>
            </w:r>
          </w:p>
        </w:tc>
      </w:tr>
      <w:tr w:rsidR="00CE534D" w:rsidRPr="00621C94" w:rsidTr="004B7802">
        <w:trPr>
          <w:gridAfter w:val="1"/>
          <w:wAfter w:w="850" w:type="dxa"/>
          <w:trHeight w:val="1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безвозмездные поступления -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</w:tr>
      <w:tr w:rsidR="00CE534D" w:rsidRPr="00621C94" w:rsidTr="004B7802">
        <w:trPr>
          <w:gridAfter w:val="1"/>
          <w:wAfter w:w="850" w:type="dxa"/>
          <w:trHeight w:val="7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</w:t>
            </w:r>
            <w:proofErr w:type="gramStart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целевого назначения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2170,0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целевое назначение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– всего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7 372,0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4 800,1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3 433,5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3 524,1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3641,8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не имеющих целевого назначения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1 976,8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1 982,6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2 067,8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2170,0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3 434,3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1 513,6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CE534D" w:rsidRPr="00621C94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(профицит)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    </w:t>
            </w: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средств, направляемых в соответствующем финансовом году </w:t>
            </w: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погашение суммы основного долга по муниципальным заимствованиям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1"/>
          <w:wAfter w:w="8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Дурасовский сельсовет                                                                           Ф.М. </w:t>
            </w:r>
            <w:proofErr w:type="spellStart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Заманов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сельского поселения Дурасовский сельсовет от </w:t>
            </w:r>
            <w:proofErr w:type="spellStart"/>
            <w:proofErr w:type="gramStart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28.12.2020 г. № 44</w:t>
            </w: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бюджетному прогнозу</w:t>
            </w:r>
          </w:p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Дурасовский сельсовет</w:t>
            </w: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до 2025 года</w:t>
            </w: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64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финансового обеспечения муниципальных программ сельского поселения Дурасовский сельсовет муниципального района Чишминский район Республики Башкортостан на долгосрочный период до 2025 года</w:t>
            </w: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CE534D" w:rsidRPr="00621C94" w:rsidTr="004B7802">
        <w:trPr>
          <w:gridAfter w:val="2"/>
          <w:wAfter w:w="992" w:type="dxa"/>
          <w:trHeight w:val="1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2020 год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CE534D" w:rsidRPr="00621C94" w:rsidTr="004B7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– всего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7 372,0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4 800,1</w:t>
            </w: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3 433,5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3 524,1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3 577,0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3 641,8</w:t>
            </w:r>
          </w:p>
        </w:tc>
        <w:tc>
          <w:tcPr>
            <w:tcW w:w="992" w:type="dxa"/>
            <w:gridSpan w:val="2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7 372,0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4 800,1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3 351,2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3 359,3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 на 2019-2024 годы, из них: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7 372,0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4 800,1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3 351,2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3 359,3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1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средства бюджета Республики Башкортостан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1 015,4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6 293,7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4 240,2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3 290,7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3 296,5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3 641,8</w:t>
            </w: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D" w:rsidRPr="00621C94" w:rsidRDefault="00CE534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34D" w:rsidRPr="00621C94" w:rsidTr="004B7802">
        <w:trPr>
          <w:gridAfter w:val="2"/>
          <w:wAfter w:w="992" w:type="dxa"/>
          <w:trHeight w:val="8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Дурасовский сельсовет                                     Ф.М. </w:t>
            </w:r>
            <w:proofErr w:type="spellStart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Заманов</w:t>
            </w:r>
            <w:proofErr w:type="spellEnd"/>
            <w:r w:rsidRPr="006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D" w:rsidRPr="00621C94" w:rsidRDefault="00CE534D" w:rsidP="004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97204" w:rsidRPr="00621C94" w:rsidRDefault="00597204" w:rsidP="00CE534D">
      <w:pPr>
        <w:ind w:left="-426" w:firstLine="426"/>
        <w:rPr>
          <w:sz w:val="28"/>
          <w:szCs w:val="28"/>
        </w:rPr>
      </w:pPr>
    </w:p>
    <w:sectPr w:rsidR="00597204" w:rsidRPr="00621C94" w:rsidSect="00CE534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AF"/>
    <w:rsid w:val="002C5913"/>
    <w:rsid w:val="00597204"/>
    <w:rsid w:val="00621C94"/>
    <w:rsid w:val="00CE534D"/>
    <w:rsid w:val="00C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2020-12-28T12:43:00Z</dcterms:created>
  <dcterms:modified xsi:type="dcterms:W3CDTF">2021-01-11T12:46:00Z</dcterms:modified>
</cp:coreProperties>
</file>