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26" w:rsidRPr="00C07F26" w:rsidRDefault="00C07F26" w:rsidP="00C07F26">
      <w:pPr>
        <w:rPr>
          <w:lang w:eastAsia="ru-RU"/>
        </w:rPr>
      </w:pPr>
    </w:p>
    <w:tbl>
      <w:tblPr>
        <w:tblW w:w="987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9"/>
        <w:gridCol w:w="1081"/>
        <w:gridCol w:w="4179"/>
      </w:tblGrid>
      <w:tr w:rsidR="00C07F26" w:rsidRPr="00C07F26" w:rsidTr="004A358B">
        <w:trPr>
          <w:trHeight w:val="1463"/>
          <w:jc w:val="center"/>
        </w:trPr>
        <w:tc>
          <w:tcPr>
            <w:tcW w:w="461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07F26" w:rsidRPr="00C07F26" w:rsidRDefault="00C07F26" w:rsidP="00C0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Башк</w:t>
            </w: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орто</w:t>
            </w: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стан </w:t>
            </w:r>
            <w:r w:rsidRPr="00C07F26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</w:t>
            </w:r>
            <w:r w:rsidRPr="00C07F26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tt-RU" w:eastAsia="ru-RU"/>
              </w:rPr>
              <w:t>АҺ</w:t>
            </w:r>
            <w:proofErr w:type="gramStart"/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ы</w:t>
            </w:r>
            <w:proofErr w:type="gramEnd"/>
          </w:p>
          <w:p w:rsidR="00C07F26" w:rsidRPr="00C07F26" w:rsidRDefault="00C07F26" w:rsidP="00C0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C07F26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  <w:lang w:val="tt-RU" w:eastAsia="ru-RU"/>
              </w:rPr>
              <w:t>Ә</w:t>
            </w: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районы</w:t>
            </w:r>
          </w:p>
          <w:p w:rsidR="00C07F26" w:rsidRPr="00C07F26" w:rsidRDefault="00C07F26" w:rsidP="00C0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F26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МУНИЦИПАЛЬ РАЙОНЫны</w:t>
            </w:r>
            <w:r w:rsidRPr="00C07F26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tt-RU" w:eastAsia="ru-RU"/>
              </w:rPr>
              <w:t>Ң</w:t>
            </w:r>
            <w:r w:rsidRPr="00C07F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 w:eastAsia="ru-RU"/>
              </w:rPr>
              <w:t xml:space="preserve"> </w:t>
            </w:r>
          </w:p>
          <w:p w:rsidR="00C07F26" w:rsidRPr="00C07F26" w:rsidRDefault="00C07F26" w:rsidP="00C0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</w:pPr>
            <w:r w:rsidRPr="00C07F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ДУРАСОВ АУЫЛ СОВЕТЫ</w:t>
            </w:r>
          </w:p>
          <w:p w:rsidR="00C07F26" w:rsidRPr="00C07F26" w:rsidRDefault="00C07F26" w:rsidP="00C0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ауыл биЛ</w:t>
            </w: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Ә</w:t>
            </w: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ӘҺ</w:t>
            </w: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е </w:t>
            </w:r>
          </w:p>
          <w:p w:rsidR="00C07F26" w:rsidRPr="00C07F26" w:rsidRDefault="00C07F26" w:rsidP="00C0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C07F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ХАКИМИ</w:t>
            </w:r>
            <w:r w:rsidRPr="00C07F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 w:eastAsia="ru-RU"/>
              </w:rPr>
              <w:t>ӘТЕ</w:t>
            </w:r>
          </w:p>
        </w:tc>
        <w:tc>
          <w:tcPr>
            <w:tcW w:w="108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07F26" w:rsidRPr="00C07F26" w:rsidRDefault="00C07F26" w:rsidP="00C07F2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29285" cy="8432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07F26" w:rsidRPr="00C07F26" w:rsidRDefault="00C07F26" w:rsidP="00C0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АДМИНИСТРАЦИЯ</w:t>
            </w:r>
          </w:p>
          <w:p w:rsidR="00C07F26" w:rsidRPr="00C07F26" w:rsidRDefault="00C07F26" w:rsidP="00C0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C07F26" w:rsidRPr="00C07F26" w:rsidRDefault="00C07F26" w:rsidP="00C0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ДУРАСОВСКИЙ сельсовет</w:t>
            </w:r>
          </w:p>
          <w:p w:rsidR="00C07F26" w:rsidRPr="00C07F26" w:rsidRDefault="00C07F26" w:rsidP="00C0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МУНИЦИПАЛЬНОГО РАЙОНА</w:t>
            </w:r>
          </w:p>
          <w:p w:rsidR="00C07F26" w:rsidRPr="00C07F26" w:rsidRDefault="00C07F26" w:rsidP="00C0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</w:pP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 РеспубликИ</w:t>
            </w:r>
            <w:r w:rsidRPr="00C07F26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 xml:space="preserve"> Башкортостан</w:t>
            </w:r>
          </w:p>
        </w:tc>
      </w:tr>
    </w:tbl>
    <w:p w:rsidR="00C07F26" w:rsidRPr="00C07F26" w:rsidRDefault="00C07F26" w:rsidP="00C07F26">
      <w:pPr>
        <w:tabs>
          <w:tab w:val="center" w:pos="4153"/>
          <w:tab w:val="left" w:pos="7020"/>
          <w:tab w:val="left" w:pos="810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БОЙОРОК                                                                                         </w:t>
      </w:r>
      <w:r w:rsidRPr="00C07F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C07F26" w:rsidRPr="00C07F26" w:rsidRDefault="00C07F26" w:rsidP="00C07F2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«31» декабрь  2019 й.                                          № 113                       «31» декабря  2019 г.</w:t>
      </w:r>
    </w:p>
    <w:p w:rsidR="00C07F26" w:rsidRPr="00C07F26" w:rsidRDefault="00C07F26" w:rsidP="00C07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F26" w:rsidRPr="00C07F26" w:rsidRDefault="00C07F26" w:rsidP="00C07F26">
      <w:pPr>
        <w:rPr>
          <w:sz w:val="28"/>
          <w:szCs w:val="28"/>
          <w:lang w:eastAsia="ru-RU"/>
        </w:rPr>
      </w:pPr>
    </w:p>
    <w:p w:rsidR="00C07F26" w:rsidRPr="00C07F26" w:rsidRDefault="00C07F26" w:rsidP="00C07F2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7F26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</w:t>
      </w:r>
    </w:p>
    <w:p w:rsidR="00C07F26" w:rsidRPr="00C07F26" w:rsidRDefault="00C07F26" w:rsidP="00C07F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7F26">
        <w:rPr>
          <w:rFonts w:ascii="Times New Roman" w:hAnsi="Times New Roman" w:cs="Times New Roman"/>
          <w:sz w:val="28"/>
          <w:szCs w:val="28"/>
          <w:lang w:eastAsia="ru-RU"/>
        </w:rPr>
        <w:t xml:space="preserve">об установлении, детализации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определении порядка применения </w:t>
      </w:r>
      <w:r w:rsidRPr="00C07F2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бюджетной классификации Российской Федерации в части, относящейся  к бюджету сельского поселения Дурасовский сель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 муниципального </w:t>
      </w:r>
      <w:r w:rsidRPr="00C07F26">
        <w:rPr>
          <w:rFonts w:ascii="Times New Roman" w:hAnsi="Times New Roman" w:cs="Times New Roman"/>
          <w:sz w:val="28"/>
          <w:szCs w:val="28"/>
          <w:lang w:eastAsia="ru-RU"/>
        </w:rPr>
        <w:t xml:space="preserve">  района Чишмински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й район Республики Башкортостан</w:t>
      </w:r>
    </w:p>
    <w:p w:rsidR="00C07F26" w:rsidRPr="00C07F26" w:rsidRDefault="00C07F26" w:rsidP="00C07F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F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В целях единства бюджетной политики и своевременного составления бюджета сельского поселения Дурасовский сельсовет муниципального района Чишминский район Республики Башкортостан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Pr="00C07F26">
        <w:rPr>
          <w:rFonts w:ascii="Times New Roman" w:hAnsi="Times New Roman" w:cs="Times New Roman"/>
          <w:sz w:val="28"/>
          <w:szCs w:val="28"/>
          <w:lang w:eastAsia="ru-RU"/>
        </w:rPr>
        <w:t xml:space="preserve"> со статьей 9 </w:t>
      </w:r>
      <w:proofErr w:type="gramStart"/>
      <w:r w:rsidRPr="00C07F26">
        <w:rPr>
          <w:rFonts w:ascii="Times New Roman" w:hAnsi="Times New Roman" w:cs="Times New Roman"/>
          <w:sz w:val="28"/>
          <w:szCs w:val="28"/>
          <w:lang w:eastAsia="ru-RU"/>
        </w:rPr>
        <w:t>Бюджетного кодекса Российской Федерации «Об общих            принципах организации Российской Федераци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и»,  статьей  7  «Положения   </w:t>
      </w:r>
      <w:r w:rsidRPr="00C07F26">
        <w:rPr>
          <w:rFonts w:ascii="Times New Roman" w:hAnsi="Times New Roman" w:cs="Times New Roman"/>
          <w:sz w:val="28"/>
          <w:szCs w:val="28"/>
          <w:lang w:eastAsia="ru-RU"/>
        </w:rPr>
        <w:t xml:space="preserve">  о бюджетном процессе в сельском поселении Дурасовский  сельсовет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07F26">
        <w:rPr>
          <w:rFonts w:ascii="Times New Roman" w:hAnsi="Times New Roman" w:cs="Times New Roman"/>
          <w:sz w:val="28"/>
          <w:szCs w:val="28"/>
          <w:lang w:eastAsia="ru-RU"/>
        </w:rPr>
        <w:t>униципального района Чишминский район»,  утвержденного решением      Совета      сельского поселения Дурасовский сельсовет  муниципального района  Чишминский район Республики Башкортостан  от  28 января  2014 года        № 2    «Об утверждении Положения о бюджетном   процессе  в  сельском    поселении Дурасовский сельсовет муниципального района Чишминский район Республики</w:t>
      </w:r>
      <w:proofErr w:type="gramEnd"/>
      <w:r w:rsidRPr="00C07F26">
        <w:rPr>
          <w:rFonts w:ascii="Times New Roman" w:hAnsi="Times New Roman" w:cs="Times New Roman"/>
          <w:sz w:val="28"/>
          <w:szCs w:val="28"/>
          <w:lang w:eastAsia="ru-RU"/>
        </w:rPr>
        <w:t xml:space="preserve"> Башкортостан»:</w:t>
      </w:r>
    </w:p>
    <w:p w:rsidR="00C07F26" w:rsidRPr="00C07F26" w:rsidRDefault="00C07F26" w:rsidP="00C07F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F26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прилагаемый  Порядок об установлении, детализаци</w:t>
      </w:r>
      <w:r w:rsidR="004A35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07F26">
        <w:rPr>
          <w:rFonts w:ascii="Times New Roman" w:hAnsi="Times New Roman" w:cs="Times New Roman"/>
          <w:sz w:val="28"/>
          <w:szCs w:val="28"/>
          <w:lang w:eastAsia="ru-RU"/>
        </w:rPr>
        <w:t xml:space="preserve">   и определении порядка применения бюджетной классификации Российской Федерации в части, относящейся  к бюджету сельского поселения Дурасовский сельсовет муниципального района Чишминский</w:t>
      </w:r>
      <w:r w:rsidR="00E275EB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r w:rsidRPr="00C07F26">
        <w:rPr>
          <w:rFonts w:ascii="Times New Roman" w:hAnsi="Times New Roman" w:cs="Times New Roman"/>
          <w:sz w:val="28"/>
          <w:szCs w:val="28"/>
          <w:lang w:eastAsia="ru-RU"/>
        </w:rPr>
        <w:t xml:space="preserve"> Башкортостан</w:t>
      </w:r>
    </w:p>
    <w:p w:rsidR="00C07F26" w:rsidRPr="00C07F26" w:rsidRDefault="00C07F26" w:rsidP="00C07F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F26">
        <w:rPr>
          <w:rFonts w:ascii="Times New Roman" w:hAnsi="Times New Roman" w:cs="Times New Roman"/>
          <w:sz w:val="28"/>
          <w:szCs w:val="28"/>
          <w:lang w:eastAsia="ru-RU"/>
        </w:rPr>
        <w:t xml:space="preserve">       2. Настоящее распоряжение вступает в силу с 1 января 2020 года.</w:t>
      </w:r>
    </w:p>
    <w:p w:rsidR="00C07F26" w:rsidRPr="00C07F26" w:rsidRDefault="00C07F26" w:rsidP="00C07F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F26">
        <w:rPr>
          <w:rFonts w:ascii="Times New Roman" w:hAnsi="Times New Roman" w:cs="Times New Roman"/>
          <w:sz w:val="28"/>
          <w:szCs w:val="28"/>
          <w:lang w:eastAsia="ru-RU"/>
        </w:rPr>
        <w:t xml:space="preserve">       3. </w:t>
      </w:r>
      <w:proofErr w:type="gramStart"/>
      <w:r w:rsidRPr="00C07F2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7F26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C07F26" w:rsidRPr="00C07F26" w:rsidRDefault="00C07F26" w:rsidP="00C07F2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F26" w:rsidRPr="00C07F26" w:rsidRDefault="00C07F26" w:rsidP="00C07F2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F26" w:rsidRPr="00C07F26" w:rsidRDefault="00C07F26" w:rsidP="00C07F2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F26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Дурасовский  сельсовет                                                                                         муниципального района Чишминский район                                                                                                                Республики Башкортостан:                                                                              Ф.М. </w:t>
      </w:r>
      <w:proofErr w:type="spellStart"/>
      <w:r w:rsidRPr="00C07F26">
        <w:rPr>
          <w:rFonts w:ascii="Times New Roman" w:hAnsi="Times New Roman" w:cs="Times New Roman"/>
          <w:sz w:val="28"/>
          <w:szCs w:val="28"/>
          <w:lang w:eastAsia="ru-RU"/>
        </w:rPr>
        <w:t>Заманов</w:t>
      </w:r>
      <w:proofErr w:type="spellEnd"/>
      <w:r w:rsidRPr="00C07F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07F26" w:rsidRPr="00C07F26" w:rsidRDefault="00C07F26" w:rsidP="00C07F26">
      <w:pPr>
        <w:rPr>
          <w:rFonts w:ascii="Times New Roman" w:hAnsi="Times New Roman" w:cs="Times New Roman"/>
          <w:lang w:eastAsia="ru-RU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C07F26" w:rsidRPr="00B22E57" w:rsidTr="004A358B">
        <w:tc>
          <w:tcPr>
            <w:tcW w:w="4359" w:type="dxa"/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к 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постановлению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Дурасовский сельсовет муниципального района Чишминский район Республики Башкортостан 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от «31» декабря 2019 г. № 113</w:t>
            </w:r>
          </w:p>
        </w:tc>
      </w:tr>
    </w:tbl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07F26" w:rsidRPr="00B22E57" w:rsidRDefault="00C07F26" w:rsidP="0013399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22E57">
        <w:rPr>
          <w:rFonts w:ascii="Times New Roman" w:hAnsi="Times New Roman" w:cs="Times New Roman"/>
          <w:sz w:val="20"/>
          <w:szCs w:val="20"/>
          <w:lang w:eastAsia="ru-RU"/>
        </w:rPr>
        <w:t xml:space="preserve">ПОРЯДОК </w:t>
      </w:r>
      <w:r w:rsidRPr="00B22E57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применения бюджетной классификации </w:t>
      </w:r>
      <w:r w:rsidRPr="00B22E57">
        <w:rPr>
          <w:rFonts w:ascii="Times New Roman" w:hAnsi="Times New Roman" w:cs="Times New Roman"/>
          <w:sz w:val="20"/>
          <w:szCs w:val="20"/>
          <w:lang w:eastAsia="ru-RU"/>
        </w:rPr>
        <w:br/>
        <w:t>Российской Федерации в части, относящейся  к бюджету сельского поселения Дурасовский сельсовет муниципального  района Чишминский район Республики Башкортостан</w:t>
      </w:r>
      <w:r w:rsidR="004A358B" w:rsidRPr="00B22E5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C07F26" w:rsidRPr="00B22E57" w:rsidRDefault="004A358B" w:rsidP="0013399D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2E57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="00C07F26" w:rsidRPr="00B22E57">
        <w:rPr>
          <w:rFonts w:ascii="Times New Roman" w:hAnsi="Times New Roman" w:cs="Times New Roman"/>
          <w:sz w:val="20"/>
          <w:szCs w:val="20"/>
          <w:lang w:eastAsia="ru-RU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сельского поселения Дурасовский сельсовет муниципального  района Чишминский район Республики Башкортостан (далее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="00C07F26" w:rsidRPr="00B22E57">
        <w:rPr>
          <w:rFonts w:ascii="Times New Roman" w:hAnsi="Times New Roman" w:cs="Times New Roman"/>
          <w:sz w:val="20"/>
          <w:szCs w:val="20"/>
          <w:lang w:eastAsia="ru-RU"/>
        </w:rPr>
        <w:t>).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07F26" w:rsidRPr="00B22E57" w:rsidRDefault="00C07F26" w:rsidP="0013399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22E57">
        <w:rPr>
          <w:rFonts w:ascii="Times New Roman" w:hAnsi="Times New Roman" w:cs="Times New Roman"/>
          <w:sz w:val="20"/>
          <w:szCs w:val="20"/>
        </w:rPr>
        <w:t>«</w:t>
      </w:r>
      <w:r w:rsidRPr="00B22E57">
        <w:rPr>
          <w:rFonts w:ascii="Times New Roman" w:hAnsi="Times New Roman" w:cs="Times New Roman"/>
          <w:sz w:val="20"/>
          <w:szCs w:val="20"/>
          <w:lang w:val="en-US" w:eastAsia="ru-RU"/>
        </w:rPr>
        <w:t>I</w:t>
      </w:r>
      <w:r w:rsidRPr="00B22E57">
        <w:rPr>
          <w:rFonts w:ascii="Times New Roman" w:hAnsi="Times New Roman" w:cs="Times New Roman"/>
          <w:sz w:val="20"/>
          <w:szCs w:val="20"/>
          <w:lang w:eastAsia="ru-RU"/>
        </w:rPr>
        <w:t xml:space="preserve">. Установление, детализация и определение </w:t>
      </w:r>
      <w:proofErr w:type="gramStart"/>
      <w:r w:rsidRPr="00B22E57">
        <w:rPr>
          <w:rFonts w:ascii="Times New Roman" w:hAnsi="Times New Roman" w:cs="Times New Roman"/>
          <w:sz w:val="20"/>
          <w:szCs w:val="20"/>
          <w:lang w:eastAsia="ru-RU"/>
        </w:rPr>
        <w:t>порядка</w:t>
      </w:r>
      <w:r w:rsidRPr="00B22E57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применения классификации доходов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proofErr w:type="gramEnd"/>
      <w:r w:rsidRPr="00B22E5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Для детализации поступлений по кодам вида доходов бюджетов применяется код подвида доходов бюджетов.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2E57">
        <w:rPr>
          <w:rFonts w:ascii="Times New Roman" w:hAnsi="Times New Roman" w:cs="Times New Roman"/>
          <w:sz w:val="20"/>
          <w:szCs w:val="20"/>
          <w:lang w:eastAsia="ru-RU"/>
        </w:rPr>
        <w:t xml:space="preserve">Перечень кодов подвидов доходов бюджетов по видам доходов бюджетов, главными администраторами которых являются органы </w:t>
      </w:r>
      <w:r w:rsidR="00453730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  <w:lang w:eastAsia="ru-RU"/>
        </w:rPr>
        <w:t>, установлен в приложении № 1 к настоящему Порядку».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07F26" w:rsidRPr="00B22E57" w:rsidRDefault="00C07F26" w:rsidP="000A79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«I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. Установление, детализация и определение </w:t>
      </w:r>
      <w:proofErr w:type="gramStart"/>
      <w:r w:rsidRPr="00B22E57">
        <w:rPr>
          <w:rFonts w:ascii="Times New Roman" w:hAnsi="Times New Roman" w:cs="Times New Roman"/>
          <w:sz w:val="20"/>
          <w:szCs w:val="20"/>
        </w:rPr>
        <w:t>порядка</w:t>
      </w:r>
      <w:r w:rsidR="004A358B" w:rsidRPr="00B22E57">
        <w:rPr>
          <w:rFonts w:ascii="Times New Roman" w:hAnsi="Times New Roman" w:cs="Times New Roman"/>
          <w:sz w:val="20"/>
          <w:szCs w:val="20"/>
        </w:rPr>
        <w:t xml:space="preserve">  </w:t>
      </w:r>
      <w:r w:rsidR="000A7992">
        <w:rPr>
          <w:rFonts w:ascii="Times New Roman" w:hAnsi="Times New Roman" w:cs="Times New Roman"/>
          <w:sz w:val="20"/>
          <w:szCs w:val="20"/>
        </w:rPr>
        <w:t xml:space="preserve"> </w:t>
      </w:r>
      <w:r w:rsidR="004A358B" w:rsidRPr="00B22E57">
        <w:rPr>
          <w:rFonts w:ascii="Times New Roman" w:hAnsi="Times New Roman" w:cs="Times New Roman"/>
          <w:sz w:val="20"/>
          <w:szCs w:val="20"/>
        </w:rPr>
        <w:t xml:space="preserve">    </w:t>
      </w:r>
      <w:r w:rsidRPr="00B22E57">
        <w:rPr>
          <w:rFonts w:ascii="Times New Roman" w:hAnsi="Times New Roman" w:cs="Times New Roman"/>
          <w:sz w:val="20"/>
          <w:szCs w:val="20"/>
        </w:rPr>
        <w:t xml:space="preserve">применения классификации расходов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proofErr w:type="gramEnd"/>
      <w:r w:rsidRPr="00B22E57">
        <w:rPr>
          <w:rFonts w:ascii="Times New Roman" w:hAnsi="Times New Roman" w:cs="Times New Roman"/>
          <w:sz w:val="20"/>
          <w:szCs w:val="20"/>
        </w:rPr>
        <w:t>.</w:t>
      </w:r>
    </w:p>
    <w:p w:rsidR="00C07F26" w:rsidRPr="00B22E57" w:rsidRDefault="00C07F26" w:rsidP="0013399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Общие положения</w:t>
      </w:r>
    </w:p>
    <w:p w:rsidR="00C07F26" w:rsidRPr="00B22E57" w:rsidRDefault="004A358B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="00C07F26" w:rsidRPr="00B22E57">
        <w:rPr>
          <w:rFonts w:ascii="Times New Roman" w:hAnsi="Times New Roman" w:cs="Times New Roman"/>
          <w:sz w:val="20"/>
          <w:szCs w:val="20"/>
        </w:rPr>
        <w:t xml:space="preserve">Целевые статьи расходов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="00C07F26" w:rsidRPr="00B22E57">
        <w:rPr>
          <w:rFonts w:ascii="Times New Roman" w:hAnsi="Times New Roman" w:cs="Times New Roman"/>
          <w:sz w:val="20"/>
          <w:szCs w:val="20"/>
        </w:rPr>
        <w:t xml:space="preserve"> обеспечивают привязку бюджетных ассигнований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="00C07F26" w:rsidRPr="00B22E57">
        <w:rPr>
          <w:rFonts w:ascii="Times New Roman" w:hAnsi="Times New Roman" w:cs="Times New Roman"/>
          <w:sz w:val="20"/>
          <w:szCs w:val="20"/>
        </w:rPr>
        <w:t xml:space="preserve"> к муниципальным программам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="00C07F26" w:rsidRPr="00B22E57">
        <w:rPr>
          <w:rFonts w:ascii="Times New Roman" w:hAnsi="Times New Roman" w:cs="Times New Roman"/>
          <w:sz w:val="20"/>
          <w:szCs w:val="20"/>
        </w:rPr>
        <w:t xml:space="preserve">, их структурным элементам и (или) непрограммным направлениям деятельности (функциям) органов местного самоуправления и иных государственных и муниципальных органов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="00C07F26" w:rsidRPr="00B22E57">
        <w:rPr>
          <w:rFonts w:ascii="Times New Roman" w:hAnsi="Times New Roman" w:cs="Times New Roman"/>
          <w:sz w:val="20"/>
          <w:szCs w:val="20"/>
        </w:rPr>
        <w:t xml:space="preserve"> (далее – государственные и муниципальные органы) и (или) к расходным обязательствам, подлежащим исполнению за счет средств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="00C07F26" w:rsidRPr="00B22E57">
        <w:rPr>
          <w:rFonts w:ascii="Times New Roman" w:hAnsi="Times New Roman" w:cs="Times New Roman"/>
          <w:sz w:val="20"/>
          <w:szCs w:val="20"/>
        </w:rPr>
        <w:t xml:space="preserve">. </w:t>
      </w:r>
      <w:proofErr w:type="gramEnd"/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 </w:t>
      </w:r>
      <w:r w:rsidR="004A358B" w:rsidRPr="00B22E57">
        <w:rPr>
          <w:rFonts w:ascii="Times New Roman" w:hAnsi="Times New Roman" w:cs="Times New Roman"/>
          <w:sz w:val="20"/>
          <w:szCs w:val="20"/>
        </w:rPr>
        <w:t xml:space="preserve">      </w:t>
      </w:r>
      <w:r w:rsidRPr="00B22E57">
        <w:rPr>
          <w:rFonts w:ascii="Times New Roman" w:hAnsi="Times New Roman" w:cs="Times New Roman"/>
          <w:sz w:val="20"/>
          <w:szCs w:val="20"/>
        </w:rPr>
        <w:t xml:space="preserve">   Структура </w:t>
      </w:r>
      <w:proofErr w:type="gramStart"/>
      <w:r w:rsidRPr="00B22E57">
        <w:rPr>
          <w:rFonts w:ascii="Times New Roman" w:hAnsi="Times New Roman" w:cs="Times New Roman"/>
          <w:sz w:val="20"/>
          <w:szCs w:val="20"/>
        </w:rPr>
        <w:t xml:space="preserve">кода целевой статьи расходов бюджета </w:t>
      </w:r>
      <w:r w:rsidR="00453730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proofErr w:type="gramEnd"/>
      <w:r w:rsidR="00453730" w:rsidRPr="00B22E57">
        <w:rPr>
          <w:rFonts w:ascii="Times New Roman" w:hAnsi="Times New Roman" w:cs="Times New Roman"/>
          <w:sz w:val="20"/>
          <w:szCs w:val="20"/>
        </w:rPr>
        <w:t xml:space="preserve"> </w:t>
      </w:r>
      <w:r w:rsidRPr="00B22E57">
        <w:rPr>
          <w:rFonts w:ascii="Times New Roman" w:hAnsi="Times New Roman" w:cs="Times New Roman"/>
          <w:sz w:val="20"/>
          <w:szCs w:val="20"/>
        </w:rPr>
        <w:t>состоит из десяти разрядов и включает следующие составные части (таблица 1):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 код программного (непрограммного) направления расходов (8 – 9 разряды кода классификации расходов бюджетов) – предназначен для кодирования бюджетных ассигнований по муниципальным программам </w:t>
      </w:r>
      <w:r w:rsidR="00453730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>, непрограммным направлениям деятельности (функциям) государственных и муниципальных органов;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код подпрограммы (10 разряд кода классификации расходов бюджетов) – предназначен для кодирования бюджетных ассигнований по подпрограммам муниципальных программ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>, непрограммным направлениям деятельности государственных и муниципальных органов;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22E57">
        <w:rPr>
          <w:rFonts w:ascii="Times New Roman" w:hAnsi="Times New Roman" w:cs="Times New Roman"/>
          <w:sz w:val="20"/>
          <w:szCs w:val="20"/>
        </w:rPr>
        <w:t xml:space="preserve">код основного мероприятия (11 – 12 разряды кода классификации расходов бюджетов) – предназначен для кодирования бюджетных ассигнований по основным мероприятиям, приоритетным и ведомственным региональным проектам (программам) подпрограмм муниципальных программ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>, региональным проектам, реализуемым в рамках государственных программ Республики Башкортостан и непрограммных направлений деятельности государственных  и муниципальных органов, направленным на достижение соответствующих результатов реализации федеральных проектов (программ) и комплексного плана модернизации и</w:t>
      </w:r>
      <w:proofErr w:type="gramEnd"/>
      <w:r w:rsidRPr="00B22E57">
        <w:rPr>
          <w:rFonts w:ascii="Times New Roman" w:hAnsi="Times New Roman" w:cs="Times New Roman"/>
          <w:sz w:val="20"/>
          <w:szCs w:val="20"/>
        </w:rPr>
        <w:t xml:space="preserve"> расширения магистральной инфраструктуры (далее – региональные проекты);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 код направления расходов (13 – 17 разряды кода классификации расходов бюджетов)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13399D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0A7992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</w:p>
    <w:p w:rsidR="00C07F26" w:rsidRPr="00B22E57" w:rsidRDefault="00C07F26" w:rsidP="0013399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262"/>
        <w:gridCol w:w="1472"/>
        <w:gridCol w:w="977"/>
        <w:gridCol w:w="994"/>
        <w:gridCol w:w="644"/>
        <w:gridCol w:w="616"/>
        <w:gridCol w:w="630"/>
        <w:gridCol w:w="616"/>
        <w:gridCol w:w="560"/>
      </w:tblGrid>
      <w:tr w:rsidR="00C07F26" w:rsidRPr="00B22E57" w:rsidTr="004A358B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</w:tr>
      <w:tr w:rsidR="00C07F26" w:rsidRPr="00B22E57" w:rsidTr="004A358B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r w:rsidRPr="00B22E57">
              <w:rPr>
                <w:rFonts w:ascii="Times New Roman" w:hAnsi="Times New Roman" w:cs="Times New Roman"/>
                <w:sz w:val="20"/>
                <w:szCs w:val="20"/>
              </w:rPr>
              <w:br/>
              <w:t>расходов</w:t>
            </w:r>
          </w:p>
        </w:tc>
      </w:tr>
      <w:tr w:rsidR="00C07F26" w:rsidRPr="00B22E57" w:rsidTr="004A358B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Под-программа</w:t>
            </w:r>
            <w:proofErr w:type="gramEnd"/>
            <w:r w:rsidRPr="00B22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5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4A358B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        </w:t>
      </w:r>
      <w:r w:rsidR="00C07F26" w:rsidRPr="00B22E57">
        <w:rPr>
          <w:rFonts w:ascii="Times New Roman" w:hAnsi="Times New Roman" w:cs="Times New Roman"/>
          <w:sz w:val="20"/>
          <w:szCs w:val="20"/>
        </w:rPr>
        <w:t xml:space="preserve">Целевым статьям бюджета СП присваиваются уникальные коды, сформированные с применением буквенно-цифрового ряда: 0, 1, 2, 3, 4, 5, 6, 7, 8, 9, А, Б, В, Г, Д, Е, Ж, И, К, Л, М, Н, </w:t>
      </w:r>
      <w:proofErr w:type="gramStart"/>
      <w:r w:rsidR="00C07F26" w:rsidRPr="00B22E57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C07F26" w:rsidRPr="00B22E57">
        <w:rPr>
          <w:rFonts w:ascii="Times New Roman" w:hAnsi="Times New Roman" w:cs="Times New Roman"/>
          <w:sz w:val="20"/>
          <w:szCs w:val="20"/>
        </w:rPr>
        <w:t>, Р, С, Т, У, Ф, Ц, Ч, Ш, Щ, Э, Ю, Я, A, D, E, F, G, I, J, L, N, P, Q, R, S, T, U, V, W, Y, Z.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Наименования целевых статей расходов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устанавливаются: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 Администрацией сельского поселения и характеризуют направление бюджетных ассигнований на реализацию: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муниципальных программ  </w:t>
      </w:r>
      <w:r w:rsidR="00453730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и непрограммных направлений деятельности государственных и муниципальных органов;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подпрограмм муниципальных программ </w:t>
      </w:r>
      <w:r w:rsidR="00453730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>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основных мероприятий, приоритетных проектов, ведомственных региональных проектов (программ), региональных проектов в рамках подпрограмм муниципальных программ </w:t>
      </w:r>
      <w:r w:rsidR="00453730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>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 Министерством финансов Республики Башкортостан и характеризуют направление бюджетных ассигнований на реализацию: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направлений расходов, в том числе результатов реализации региональных проектов.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22E57">
        <w:rPr>
          <w:rFonts w:ascii="Times New Roman" w:hAnsi="Times New Roman" w:cs="Times New Roman"/>
          <w:sz w:val="20"/>
          <w:szCs w:val="20"/>
        </w:rPr>
        <w:t xml:space="preserve">Правила применения кодов направлений целевых статей расходов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>, источником финансового обеспечения которых являются межбюджетные трансферты, предоставляемые из федерального бюджета, устанавливаются в соответствии с положениями приказа Министерства финансов Российской Федерации от 6 июня 2019 года № 85н « О Порядке формирования и применения кодов бюджетной классификации Российской Федерации, их структуре и принципах назначения» (далее – приказ Минфина России от 6 июня 2019</w:t>
      </w:r>
      <w:proofErr w:type="gramEnd"/>
      <w:r w:rsidRPr="00B22E57">
        <w:rPr>
          <w:rFonts w:ascii="Times New Roman" w:hAnsi="Times New Roman" w:cs="Times New Roman"/>
          <w:sz w:val="20"/>
          <w:szCs w:val="20"/>
        </w:rPr>
        <w:t xml:space="preserve"> года № 85н).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Обособление и детализация кодов направлений расходов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>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бюджета, устанавливаются в соответствии с положениями приказа Минфина России от 6 июня 2019 года № 85н.</w:t>
      </w:r>
      <w:r w:rsidR="004A358B" w:rsidRPr="00B22E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gramStart"/>
      <w:r w:rsidRPr="00B22E57">
        <w:rPr>
          <w:rFonts w:ascii="Times New Roman" w:hAnsi="Times New Roman" w:cs="Times New Roman"/>
          <w:sz w:val="20"/>
          <w:szCs w:val="20"/>
        </w:rPr>
        <w:t xml:space="preserve">Правила применения кодов направлений целевых статей расходов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, источником финансового обеспечения которых являются межбюджетные трансферты, предоставляемые из бюджета Республики Башкортостан, устанавливаются </w:t>
      </w:r>
      <w:hyperlink r:id="rId8" w:history="1">
        <w:r w:rsidRPr="00B22E57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B22E57">
        <w:rPr>
          <w:rFonts w:ascii="Times New Roman" w:hAnsi="Times New Roman" w:cs="Times New Roman"/>
          <w:sz w:val="20"/>
          <w:szCs w:val="20"/>
        </w:rPr>
        <w:t xml:space="preserve"> Министерства финансов Республики Башкортостан от 29 декабря 2018 года № 349 «Об утверждении Порядка о применении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Башкортостан» (далее</w:t>
      </w:r>
      <w:proofErr w:type="gramEnd"/>
      <w:r w:rsidRPr="00B22E57">
        <w:rPr>
          <w:rFonts w:ascii="Times New Roman" w:hAnsi="Times New Roman" w:cs="Times New Roman"/>
          <w:sz w:val="20"/>
          <w:szCs w:val="20"/>
        </w:rPr>
        <w:t xml:space="preserve"> – приказ Минфина Республики Башкортостан от 29.12.2018г. № 349). 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22E57">
        <w:rPr>
          <w:rFonts w:ascii="Times New Roman" w:hAnsi="Times New Roman" w:cs="Times New Roman"/>
          <w:sz w:val="20"/>
          <w:szCs w:val="20"/>
        </w:rPr>
        <w:t xml:space="preserve">Правила применения кодов направлений целевых статей расходов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, источником финансового обеспечения которых являются межбюджетные трансферты, предоставляемые из бюджета муниципального района Чишминский район Республики Башкортостан, устанавливаются </w:t>
      </w:r>
      <w:hyperlink r:id="rId9" w:history="1">
        <w:r w:rsidRPr="00B22E57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B22E57">
        <w:rPr>
          <w:rFonts w:ascii="Times New Roman" w:hAnsi="Times New Roman" w:cs="Times New Roman"/>
          <w:sz w:val="20"/>
          <w:szCs w:val="20"/>
        </w:rPr>
        <w:t xml:space="preserve"> Финансового управления Администрации муниципального района Чишминский район Республики Башкортостан от 29 декабря 2018 года № 60 «Об утверждении Порядка о применении бюджетной классификации Российской Федерации в части, относящейся к бюджету муниципального района Чишминский</w:t>
      </w:r>
      <w:proofErr w:type="gramEnd"/>
      <w:r w:rsidRPr="00B22E57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Башкортостан» (далее – приказ ФУ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Чишминского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района от 29.12.2018г. № 60). 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Коды направлений расходов, содержащие значения 30000 – 39990 и 50000 – 59990, R0000 – R9990, L0000 – L9990, 70000 – 79990, S0000 – S9990, используются в следующем порядке: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1) 30000 – 39990 и 50000 – 59990 – для отражения расходов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, источником финансового обеспечения которых являются субвенции и иные межбюджетные трансферты из бюджета Республики Башкортостан, в </w:t>
      </w:r>
      <w:r w:rsidRPr="00B22E57">
        <w:rPr>
          <w:rFonts w:ascii="Times New Roman" w:hAnsi="Times New Roman" w:cs="Times New Roman"/>
          <w:sz w:val="20"/>
          <w:szCs w:val="20"/>
        </w:rPr>
        <w:lastRenderedPageBreak/>
        <w:t xml:space="preserve">целях финансового обеспечения которых предоставляются из федерального бюджета (бюджетов государственных внебюджетных фондов Российской Федерации) субвенции и иные межбюджетные трансферты. 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2) R0000 – R9990 – для отражения: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расходов бюджета СП, источником финансового обеспечения которых являются субвенции, предоставляемые из бюджета Республики Башкортостан,  в целях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которых бюджету Республики Башкортостан предоставляются из федерального бюджета субсидии и иные межбюджетные трансферты;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3) L0000 – L9990 – для отражения расходов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, в целях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которых из бюджета Республики Башкортостан предоставляются субсидии и иные межбюджетные трансферты, в целях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которых бюджету Республики Башкортостан предоставляются из федерального бюджета субсидии и иные межбюджетные трансферты.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Коды направлений расходов, содержащие значения R0000 – R9990, L0000 – L9990, не используются для отражения расходов бюджета СП на реализацию региональных проектов.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При формировании кодов целевых статей расходов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, содержащих направления расходов R0000 – R9990, L0000 – L9990, обеспечивается на уровне второго – четвертого разрядов направлений расходов однозначная увязка данных кодов с кодами направлений расходов федерального бюджета (50000 – 59990).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 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4) 70000 – 79990 – для отражения: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расходов бюджета СП, в целях финансового обеспечения которых бюджету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предоставляются из бюджета муниципального района Чишминский район Республики Башкортостан субвенции и иные межбюджетные трансферты, источником финансового обеспечения которых являются субвенции и иные межбюджетные трансферты из бюджета Республики Башкортостан.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22E57">
        <w:rPr>
          <w:rFonts w:ascii="Times New Roman" w:hAnsi="Times New Roman" w:cs="Times New Roman"/>
          <w:sz w:val="20"/>
          <w:szCs w:val="20"/>
        </w:rPr>
        <w:t xml:space="preserve">5) S0000 – S9990 – для отражения расходов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, в целях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которых из бюджета муниципального района Чишминский район Республики Башкортостан бюджету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предоставляются субсидии (которые не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софинансируются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из федерального бюджета и бюджетов государственных внебюджетных фондов Российской Федерации), источником финансового обеспечения которых являются субсидии из бюджета Республики Башкортостан.</w:t>
      </w:r>
      <w:proofErr w:type="gramEnd"/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При формировании кодов целевых статей расходов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>, содержащих направления расходов S0000 – S9990, обеспечивается на уровне второго – четвертого разрядов направлений расходов однозначная увязка данных кодов с кодами направлений расходов бюджета Республики Башкортостан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22E57">
        <w:rPr>
          <w:rFonts w:ascii="Times New Roman" w:hAnsi="Times New Roman" w:cs="Times New Roman"/>
          <w:sz w:val="20"/>
          <w:szCs w:val="20"/>
        </w:rPr>
        <w:t>Отражение расходов бюджета СП, источником финансового обеспечения которых являются субвенции, предоставляемые из федерального бюджета (бюджетов государственных внебюджетных фондов Российской Федерации) осуществляется по целевым статьям расходов бюджета СП, включающим в коде направления расходов первый – четвертый разряды, идентичные первому – четвертому разрядам кода направления расходов федерального бюджета (бюджета государственных внебюджетных фондов Российской Федерации), по которому отражаются расходы федерального бюджета (бюджета государственных внебюджетных фондов</w:t>
      </w:r>
      <w:proofErr w:type="gramEnd"/>
      <w:r w:rsidRPr="00B22E5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22E57">
        <w:rPr>
          <w:rFonts w:ascii="Times New Roman" w:hAnsi="Times New Roman" w:cs="Times New Roman"/>
          <w:sz w:val="20"/>
          <w:szCs w:val="20"/>
        </w:rPr>
        <w:t xml:space="preserve">Российской Федерации) на предоставление вышеуказанных межбюджетных трансфертов. </w:t>
      </w:r>
      <w:proofErr w:type="gramEnd"/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Перечень главных распорядителей средств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установлен в приложении № 2 к настоящему Порядку.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Правила применения целевых статей расходов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установлены в пункте 2 раздела II настоящего Порядка.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Перечень целевых статей расходов, задействованных в бюджете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, увязка направлений расходов бюджетов с программными (непрограммными) статьями целевых статей расходов, детализирующая бюджетные ассигнования бюджета </w:t>
      </w:r>
      <w:r w:rsidR="00453730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>, установлены в приложении № 3 к настоящему Порядку.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Расходы бюджета </w:t>
      </w:r>
      <w:r w:rsidR="00453730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государственных и муниципальных органов подлежат отражению по виду расходов 242 «Закупка товаров, работ, услуг в сфере информационно-коммуникационных технологий».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lastRenderedPageBreak/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2. Перечень и правила отнесения расходов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 на соответствующие направления расходов.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2.1. Направления расходов, увязываемые с программными (непрограммными) статьями целевых статей расходов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>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- 00220 Проведение выборов в представительные органы муниципального образования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>, связанные с проведением выборов в представительные органы муниципального образования Чишминский район.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- 02030 Глава муниципального образования 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на оплату труда, с учетом начислений, главы поселения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- 02040 Аппараты органов местного самоуправления поселения 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на обеспечение выполнения функций: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аппаратов органов местного самоуправления;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аппаратов представительных органов муниципального района;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аппаратов государственных и муниципальных органов, организующих подготовку и проведение выборов, референдумов в муниципальном районе;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По данному направлению расходов не учитываются расходы на строительство административных зданий и жилищное строительство.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- 03150 Дорожное хозяйство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 w:rsidR="00453730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 на дорожное хозяйство и отдельные мероприятия в области дорожного хозяйства, источником финансового обеспечения которых являются иные межбюджетные трансферты из бюджета муниципального района Чишминский район.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- 03330 Проведение работ по землеустройству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на проведение работ по землеустройству, включая работы по описанию местоположения и утверждению границ населенных пунктов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с постановкой их на государственный кадастровый учет, кадастровые работы в целях разграничения и регистрации прав собственности СП на землю, работы по почвенному обследованию земель сельскохозяйственного назначения, корректировке и оцифровке почвенных карт, работы по инвентаризации</w:t>
      </w:r>
      <w:proofErr w:type="gramEnd"/>
      <w:r w:rsidRPr="00B22E57">
        <w:rPr>
          <w:rFonts w:ascii="Times New Roman" w:hAnsi="Times New Roman" w:cs="Times New Roman"/>
          <w:sz w:val="20"/>
          <w:szCs w:val="20"/>
        </w:rPr>
        <w:t xml:space="preserve"> земель различных категорий, находящихся в муниципальной собственности, изменению границ объектов землеустройства.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- 03380 Мероприятия в области строительства, архитектуры и градостроительства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 на проведение мероприятий в области строительства, архитектуры и градостроительства.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- 03530 Мероприятия в области жилищного хозяйства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 на мероприятия в области жилищного хозяйства;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- 03560 Мероприятия в области коммунального хозяйства.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на мероприятия в области коммунального хозяйства.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- 03610 Уплата взносов на капитальный ремонт в отношении помещений, находящихся в государственной или муниципальной собственности.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на уплату взносов на капитальный ремонт в отношении помещений, находящихся в государственной или муниципальной собственности.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lastRenderedPageBreak/>
        <w:t>-06050 Мероприятия по благоустройству территорий населенных пунктов.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По данному направлению расходов отражаются расходы бюджета</w:t>
      </w:r>
      <w:r w:rsidR="00E275EB" w:rsidRPr="00E275E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="00E275EB" w:rsidRPr="00B22E57">
        <w:rPr>
          <w:rFonts w:ascii="Times New Roman" w:hAnsi="Times New Roman" w:cs="Times New Roman"/>
          <w:sz w:val="20"/>
          <w:szCs w:val="20"/>
        </w:rPr>
        <w:t xml:space="preserve"> </w:t>
      </w:r>
      <w:r w:rsidRPr="00B22E57">
        <w:rPr>
          <w:rFonts w:ascii="Times New Roman" w:hAnsi="Times New Roman" w:cs="Times New Roman"/>
          <w:sz w:val="20"/>
          <w:szCs w:val="20"/>
        </w:rPr>
        <w:t>на мероприятия по благоустройству территорий населенных пунктов.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-06400 Организация и содержание мест захоронения.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на организацию и содержание мест захоронения.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- 07500 Резервные фонды местных администраций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бюджетные ассигнования резервного фонда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>.</w:t>
      </w:r>
      <w:r w:rsidR="0013399D">
        <w:rPr>
          <w:rFonts w:ascii="Times New Roman" w:hAnsi="Times New Roman" w:cs="Times New Roman"/>
          <w:sz w:val="20"/>
          <w:szCs w:val="20"/>
        </w:rPr>
        <w:t xml:space="preserve">  </w:t>
      </w:r>
      <w:r w:rsidRPr="00B22E57">
        <w:rPr>
          <w:rFonts w:ascii="Times New Roman" w:hAnsi="Times New Roman" w:cs="Times New Roman"/>
          <w:sz w:val="20"/>
          <w:szCs w:val="20"/>
        </w:rPr>
        <w:t xml:space="preserve">Расходы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, осуществляемые за счет средств резервного фонда администрации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, отражаются в рамках соответствующей программной (непрограммной) целевой статьи расходов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>, соответствующей целям мероприятия, на финансовое обеспечение которого будут направлены средства.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-09020  Оценка недвижимости, признание прав и регулирование отношений по государственной и муниципальной собственности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по управлению муниципальным имуществом, связанные с оценкой недвижимости, признанием прав и регулированием отношений по муниципальной собственности, в том числе по информационно-техническому обеспечению процесса управления земельно-имущественным комплексом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>, включая создание единой базы данных объектов недвижимости и земельных участков.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- 09040 Содержание и обслуживание муниципальной казны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 по содержанию, распоряжению и страхованию объектов имущества, составляющих казну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>, направленные на сохранение имущества в надлежащем состоянии, а также расходы на учет, списание и утилизацию.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-24300 Мероприятия по развитию инфраструктуры объектов противопожарной службы.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связанные с проведением мероприятий  по развитию инфраструктуры объектов противопожарной службы.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- 41200 Мероприятия в области экологии и природопользования.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         По данному направлению расходов отражаются расходы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 связанные с проведением мероприятий  в области экологии и природопользования.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- 43110 Мероприятия в сфере молодежной политики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>, связанные с проведением мероприятий в области молодежной политики, в том числе на проведение детских и молодежных олимпиад, соревнований, конкурсов, фестивалей, выставок, смотров.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- 74000</w:t>
      </w:r>
      <w:proofErr w:type="gramStart"/>
      <w:r w:rsidRPr="00B22E57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B22E57">
        <w:rPr>
          <w:rFonts w:ascii="Times New Roman" w:hAnsi="Times New Roman" w:cs="Times New Roman"/>
          <w:sz w:val="20"/>
          <w:szCs w:val="20"/>
        </w:rPr>
        <w:t>ные безвозмездные и безвозвратные перечисления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на предоставление безвозвратных и безвозмездных перечислений бюджетам.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- 98210 Государственная поддержка на проведение капитального ремонта общего имущества в многоквартирных домах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 по предоставлению государственной поддержки на проведение капитального ремонта общего имущества в многоквартирных домах.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2.2. Направления расходов, предназначенные для отражения расходов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, источником финансового обеспечения которых являются средства бюджета Республики Башкортостан и бюджета </w:t>
      </w:r>
      <w:r w:rsidR="00453730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>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- 74040</w:t>
      </w:r>
      <w:proofErr w:type="gramStart"/>
      <w:r w:rsidRPr="00B22E57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B22E57">
        <w:rPr>
          <w:rFonts w:ascii="Times New Roman" w:hAnsi="Times New Roman" w:cs="Times New Roman"/>
          <w:sz w:val="20"/>
          <w:szCs w:val="20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lastRenderedPageBreak/>
        <w:t xml:space="preserve">По данному направлению расходов отражаются расходы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>, источником финансового обеспечения которых являются средства из бюджета Республики Башкортостан, 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22E57">
        <w:rPr>
          <w:rFonts w:ascii="Times New Roman" w:hAnsi="Times New Roman" w:cs="Times New Roman"/>
          <w:sz w:val="20"/>
          <w:szCs w:val="20"/>
        </w:rPr>
        <w:t>Поступление в бюджеты муниципальных образований иных межбюджетных трансфертов на указанные цели отражается по соответствующим кодам вида доходов 000 2 02 49999 00 7404 150 «Прочие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поселений)» классификации доходов бюджетов.</w:t>
      </w:r>
      <w:proofErr w:type="gramEnd"/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-L4970 Реализация мероприятий по обеспечению жильем молодых семей.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на реализацию мероприятий по обеспечению жильем молодых семей.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-L5675 Улучшение жилищных условий граждан, проживающих в сельской местности, в том числе молодых семей и молодых специалистов.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на улучшение жилищных условий граждан, проживающих в сельской местности, в том числе молодых семей и молодых специалистов.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</w:t>
      </w:r>
      <w:r w:rsidRPr="00B22E5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B22E57">
        <w:rPr>
          <w:rFonts w:ascii="Times New Roman" w:hAnsi="Times New Roman" w:cs="Times New Roman"/>
          <w:sz w:val="20"/>
          <w:szCs w:val="20"/>
        </w:rPr>
        <w:t xml:space="preserve">2010 </w:t>
      </w:r>
      <w:proofErr w:type="gramStart"/>
      <w:r w:rsidRPr="00B22E57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proofErr w:type="gramEnd"/>
      <w:r w:rsidRPr="00B22E57">
        <w:rPr>
          <w:rFonts w:ascii="Times New Roman" w:hAnsi="Times New Roman" w:cs="Times New Roman"/>
          <w:sz w:val="20"/>
          <w:szCs w:val="20"/>
        </w:rPr>
        <w:t>офинансирование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 по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софинансированию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расходов муниципальных образований, возникающих при выполнении полномочий органов местного самоуправления по отдельным вопросам местного значения, в том числе в целях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которых бюджету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предоставляются субсидии из бюджета Республики Башкортостан и муниципального района Чишминский район.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-S2200 Предоставление социальных выплат молодым семьям на приобретение (строительство) жилого помещения</w:t>
      </w:r>
    </w:p>
    <w:p w:rsidR="00C07F26" w:rsidRPr="00B22E57" w:rsidRDefault="004A358B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07F26"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="00C07F26" w:rsidRPr="00B22E57">
        <w:rPr>
          <w:rFonts w:ascii="Times New Roman" w:hAnsi="Times New Roman" w:cs="Times New Roman"/>
          <w:sz w:val="20"/>
          <w:szCs w:val="20"/>
        </w:rPr>
        <w:t xml:space="preserve">  на предоставление социальных выплат молодым семьям на приобретение (строительство) жилого помещения предоставляются субсидии из бюджета Республики Башкортостан и муниципального района Чишминский район.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-S2210 Предоставление социальных выплат молодым семьям при рождении (усыновлении) ребенка (детей)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 на предоставление социальных выплат молодым семьям при рождении (усыновлении) ребенка (детей) предоставляются субсидии из бюджета Республики Башкортостан и муниципального района Чишминский район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-S2220 Улучшение жилищных условий граждан, проживающих в сельской местности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 на улучшение </w:t>
      </w:r>
      <w:proofErr w:type="gramStart"/>
      <w:r w:rsidRPr="00B22E57">
        <w:rPr>
          <w:rFonts w:ascii="Times New Roman" w:hAnsi="Times New Roman" w:cs="Times New Roman"/>
          <w:sz w:val="20"/>
          <w:szCs w:val="20"/>
        </w:rPr>
        <w:t>жилищных условий граждан, проживающих в сельской местности предоставляются</w:t>
      </w:r>
      <w:proofErr w:type="gramEnd"/>
      <w:r w:rsidRPr="00B22E57">
        <w:rPr>
          <w:rFonts w:ascii="Times New Roman" w:hAnsi="Times New Roman" w:cs="Times New Roman"/>
          <w:sz w:val="20"/>
          <w:szCs w:val="20"/>
        </w:rPr>
        <w:t xml:space="preserve"> субсидии из бюджета Республики Башкортостан и муниципального района Чишминский район.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 S2310 Мероприятия по улучшению систем наружного освещения населенных пунктов Республики Башкортостан</w:t>
      </w:r>
    </w:p>
    <w:p w:rsidR="004A358B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</w:t>
      </w:r>
      <w:r w:rsidRPr="00B22E57">
        <w:rPr>
          <w:rFonts w:ascii="Times New Roman" w:hAnsi="Times New Roman" w:cs="Times New Roman"/>
          <w:sz w:val="20"/>
          <w:szCs w:val="20"/>
        </w:rPr>
        <w:br/>
        <w:t xml:space="preserve">на обеспечение мероприятий по улучшению систем наружного освещения населенных пунктов Республики Башкортостан, в целях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которых бюджету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предоставляются субсидии из бюджета Республики Башкортостан и муниципального района Чишмински</w:t>
      </w:r>
      <w:r w:rsidR="004A358B" w:rsidRPr="00B22E57">
        <w:rPr>
          <w:rFonts w:ascii="Times New Roman" w:hAnsi="Times New Roman" w:cs="Times New Roman"/>
          <w:sz w:val="20"/>
          <w:szCs w:val="20"/>
        </w:rPr>
        <w:t xml:space="preserve">й </w:t>
      </w:r>
      <w:r w:rsidR="0013399D">
        <w:rPr>
          <w:rFonts w:ascii="Times New Roman" w:hAnsi="Times New Roman" w:cs="Times New Roman"/>
          <w:sz w:val="20"/>
          <w:szCs w:val="20"/>
        </w:rPr>
        <w:t xml:space="preserve">район Республики </w:t>
      </w:r>
      <w:proofErr w:type="spellStart"/>
      <w:r w:rsidR="0013399D">
        <w:rPr>
          <w:rFonts w:ascii="Times New Roman" w:hAnsi="Times New Roman" w:cs="Times New Roman"/>
          <w:sz w:val="20"/>
          <w:szCs w:val="20"/>
        </w:rPr>
        <w:t>Башкортост</w:t>
      </w:r>
      <w:proofErr w:type="spellEnd"/>
      <w:r w:rsidR="0013399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 S2430 Реализация инвестиционных программ организациями, осуществляющими регулируемые виды деятельности в сфере теплоснабжения</w:t>
      </w:r>
      <w:r w:rsidR="0013399D">
        <w:rPr>
          <w:rFonts w:ascii="Times New Roman" w:hAnsi="Times New Roman" w:cs="Times New Roman"/>
          <w:sz w:val="20"/>
          <w:szCs w:val="20"/>
        </w:rPr>
        <w:t>, водоснабжения и водоотведения.</w:t>
      </w:r>
    </w:p>
    <w:p w:rsidR="00C07F26" w:rsidRPr="00B22E57" w:rsidRDefault="0013399D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07F26"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="00C07F26" w:rsidRPr="00B22E57">
        <w:rPr>
          <w:rFonts w:ascii="Times New Roman" w:hAnsi="Times New Roman" w:cs="Times New Roman"/>
          <w:sz w:val="20"/>
          <w:szCs w:val="20"/>
        </w:rPr>
        <w:t xml:space="preserve"> </w:t>
      </w:r>
      <w:r w:rsidR="00C07F26" w:rsidRPr="00B22E57">
        <w:rPr>
          <w:rFonts w:ascii="Times New Roman" w:hAnsi="Times New Roman" w:cs="Times New Roman"/>
          <w:sz w:val="20"/>
          <w:szCs w:val="20"/>
        </w:rPr>
        <w:br/>
        <w:t xml:space="preserve">на реализацию инвестиционных программ организациями, осуществляющими регулируемые виды деятельности в сфере теплоснабжения, водоснабжения и водоотведения, в целях </w:t>
      </w:r>
      <w:proofErr w:type="spellStart"/>
      <w:r w:rsidR="00C07F26" w:rsidRPr="00B22E57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="00C07F26" w:rsidRPr="00B22E57">
        <w:rPr>
          <w:rFonts w:ascii="Times New Roman" w:hAnsi="Times New Roman" w:cs="Times New Roman"/>
          <w:sz w:val="20"/>
          <w:szCs w:val="20"/>
        </w:rPr>
        <w:t xml:space="preserve"> которых бюджету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="00C07F26" w:rsidRPr="00B22E57">
        <w:rPr>
          <w:rFonts w:ascii="Times New Roman" w:hAnsi="Times New Roman" w:cs="Times New Roman"/>
          <w:sz w:val="20"/>
          <w:szCs w:val="20"/>
        </w:rPr>
        <w:t xml:space="preserve"> предоставляются субсидии из бюджета Республики Башкортостан и муниципального района Чишминский</w:t>
      </w:r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B22E5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B22E57">
        <w:rPr>
          <w:rFonts w:ascii="Times New Roman" w:hAnsi="Times New Roman" w:cs="Times New Roman"/>
          <w:sz w:val="20"/>
          <w:szCs w:val="20"/>
        </w:rPr>
        <w:t>2471 Реализация проектов развития общественной инфраструктуры, основанных на местных инициа</w:t>
      </w:r>
      <w:r w:rsidR="0013399D">
        <w:rPr>
          <w:rFonts w:ascii="Times New Roman" w:hAnsi="Times New Roman" w:cs="Times New Roman"/>
          <w:sz w:val="20"/>
          <w:szCs w:val="20"/>
        </w:rPr>
        <w:t>тивах за счет средств бюджетов.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 w:rsidR="00E275E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проектов развития общественной инфраструктуры, основанных на местных инициативах, в том числе в целях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которых бюджету </w:t>
      </w:r>
      <w:r w:rsidR="00453730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предоставляются субсидии из бюджета Республики Башкортостан и муниципа</w:t>
      </w:r>
      <w:r w:rsidR="0013399D">
        <w:rPr>
          <w:rFonts w:ascii="Times New Roman" w:hAnsi="Times New Roman" w:cs="Times New Roman"/>
          <w:sz w:val="20"/>
          <w:szCs w:val="20"/>
        </w:rPr>
        <w:t>льного района Чишминский район.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 S2472 Реализация проектов развития общественной инфраструктуры, основанных на местных инициативах, за счет средств</w:t>
      </w:r>
      <w:r w:rsidR="0013399D">
        <w:rPr>
          <w:rFonts w:ascii="Times New Roman" w:hAnsi="Times New Roman" w:cs="Times New Roman"/>
          <w:sz w:val="20"/>
          <w:szCs w:val="20"/>
        </w:rPr>
        <w:t>, поступивших от физических лиц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 w:rsidR="00453730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проектов развития общественной инфраструктуры, основанных на местных инициативах. 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 S2473 Реализация проектов развития общественной инфраструктуры, основанных на местных инициативах, за счет средств, поступивших от юридических лиц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данным направлениям расходов отражаются расходы бюджета </w:t>
      </w:r>
      <w:r w:rsidR="00453730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проектов развития общественной инфраструктуры, осн</w:t>
      </w:r>
      <w:r w:rsidR="0013399D">
        <w:rPr>
          <w:rFonts w:ascii="Times New Roman" w:hAnsi="Times New Roman" w:cs="Times New Roman"/>
          <w:sz w:val="20"/>
          <w:szCs w:val="20"/>
        </w:rPr>
        <w:t>ованных на местных инициативах.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2.3. Направления расходов, предназначенные для отражения расходов бюджета </w:t>
      </w:r>
      <w:r w:rsidR="00453730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>, источником финансового обеспечения которых являются средства федерального бюджета, бюджета Республики Башкортостан и бюджета муниципального района</w:t>
      </w:r>
      <w:r w:rsidR="0013399D">
        <w:rPr>
          <w:rFonts w:ascii="Times New Roman" w:hAnsi="Times New Roman" w:cs="Times New Roman"/>
          <w:sz w:val="20"/>
          <w:szCs w:val="20"/>
        </w:rPr>
        <w:t xml:space="preserve"> Чишминский район и бюджета </w:t>
      </w:r>
      <w:r w:rsidR="00453730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="0013399D">
        <w:rPr>
          <w:rFonts w:ascii="Times New Roman" w:hAnsi="Times New Roman" w:cs="Times New Roman"/>
          <w:sz w:val="20"/>
          <w:szCs w:val="20"/>
        </w:rPr>
        <w:t>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- 51180 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 w:rsidR="00453730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>, осуществляемые за счет средств федерального бюджета, на осуществление полномочий по первичному воинскому учету на территориях, где отсутствуют военные комиссариаты.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Поступление в бюджеты муниципальных образований субвенций на указанные цели отражается по соответствующим кодам вида доходов 000 2 02 35118 00 0000 150 «Субвенции бюджетам на осуществление первичного воинского учета на территориях, где отсутствуют военные комиссариаты» </w:t>
      </w:r>
      <w:r w:rsidR="0013399D">
        <w:rPr>
          <w:rFonts w:ascii="Times New Roman" w:hAnsi="Times New Roman" w:cs="Times New Roman"/>
          <w:sz w:val="20"/>
          <w:szCs w:val="20"/>
        </w:rPr>
        <w:t>классификации доходов бюджетов.</w:t>
      </w:r>
    </w:p>
    <w:p w:rsidR="00C07F26" w:rsidRPr="00B22E57" w:rsidRDefault="00C07F26" w:rsidP="0013399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III. Установление, детализация и определение </w:t>
      </w:r>
      <w:proofErr w:type="gramStart"/>
      <w:r w:rsidRPr="00B22E57">
        <w:rPr>
          <w:rFonts w:ascii="Times New Roman" w:hAnsi="Times New Roman" w:cs="Times New Roman"/>
          <w:sz w:val="20"/>
          <w:szCs w:val="20"/>
        </w:rPr>
        <w:t>порядка</w:t>
      </w:r>
      <w:r w:rsidR="004A358B" w:rsidRPr="00B22E57">
        <w:rPr>
          <w:rFonts w:ascii="Times New Roman" w:hAnsi="Times New Roman" w:cs="Times New Roman"/>
          <w:sz w:val="20"/>
          <w:szCs w:val="20"/>
        </w:rPr>
        <w:t xml:space="preserve"> </w:t>
      </w:r>
      <w:r w:rsidRPr="00B22E57">
        <w:rPr>
          <w:rFonts w:ascii="Times New Roman" w:hAnsi="Times New Roman" w:cs="Times New Roman"/>
          <w:sz w:val="20"/>
          <w:szCs w:val="20"/>
        </w:rPr>
        <w:t>применения классификации источников</w:t>
      </w:r>
      <w:r w:rsidR="0013399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22E57">
        <w:rPr>
          <w:rFonts w:ascii="Times New Roman" w:hAnsi="Times New Roman" w:cs="Times New Roman"/>
          <w:sz w:val="20"/>
          <w:szCs w:val="20"/>
        </w:rPr>
        <w:t xml:space="preserve"> финансирования</w:t>
      </w:r>
      <w:r w:rsidR="004A358B" w:rsidRPr="00B22E57">
        <w:rPr>
          <w:rFonts w:ascii="Times New Roman" w:hAnsi="Times New Roman" w:cs="Times New Roman"/>
          <w:sz w:val="20"/>
          <w:szCs w:val="20"/>
        </w:rPr>
        <w:t xml:space="preserve"> </w:t>
      </w:r>
      <w:r w:rsidRPr="00B22E57">
        <w:rPr>
          <w:rFonts w:ascii="Times New Roman" w:hAnsi="Times New Roman" w:cs="Times New Roman"/>
          <w:sz w:val="20"/>
          <w:szCs w:val="20"/>
        </w:rPr>
        <w:t xml:space="preserve">дефицита бюджета </w:t>
      </w:r>
      <w:r w:rsidR="00453730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proofErr w:type="gramEnd"/>
    </w:p>
    <w:p w:rsidR="00C07F26" w:rsidRPr="00B22E57" w:rsidRDefault="004A358B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07F26" w:rsidRPr="00B22E57">
        <w:rPr>
          <w:rFonts w:ascii="Times New Roman" w:hAnsi="Times New Roman" w:cs="Times New Roman"/>
          <w:sz w:val="20"/>
          <w:szCs w:val="20"/>
        </w:rPr>
        <w:t xml:space="preserve">В рамках </w:t>
      </w:r>
      <w:proofErr w:type="gramStart"/>
      <w:r w:rsidR="00C07F26" w:rsidRPr="00B22E57">
        <w:rPr>
          <w:rFonts w:ascii="Times New Roman" w:hAnsi="Times New Roman" w:cs="Times New Roman"/>
          <w:sz w:val="20"/>
          <w:szCs w:val="20"/>
        </w:rPr>
        <w:t>кода вида источников финансирования дефицита бюджета</w:t>
      </w:r>
      <w:proofErr w:type="gramEnd"/>
      <w:r w:rsidR="00C07F26" w:rsidRPr="00B22E57">
        <w:rPr>
          <w:rFonts w:ascii="Times New Roman" w:hAnsi="Times New Roman" w:cs="Times New Roman"/>
          <w:sz w:val="20"/>
          <w:szCs w:val="20"/>
        </w:rPr>
        <w:t xml:space="preserve">  производится детализация подвида источников финансирования дефицитов бюджетов с учетом особенностей исполнения бюджета </w:t>
      </w:r>
      <w:r w:rsidR="00453730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="00C07F26" w:rsidRPr="00B22E57">
        <w:rPr>
          <w:rFonts w:ascii="Times New Roman" w:hAnsi="Times New Roman" w:cs="Times New Roman"/>
          <w:sz w:val="20"/>
          <w:szCs w:val="20"/>
        </w:rPr>
        <w:t>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Перечень </w:t>
      </w:r>
      <w:proofErr w:type="gramStart"/>
      <w:r w:rsidRPr="00B22E57">
        <w:rPr>
          <w:rFonts w:ascii="Times New Roman" w:hAnsi="Times New Roman" w:cs="Times New Roman"/>
          <w:sz w:val="20"/>
          <w:szCs w:val="20"/>
        </w:rPr>
        <w:t xml:space="preserve">кодов источников финансирования дефицита бюджета </w:t>
      </w:r>
      <w:r w:rsidR="00453730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proofErr w:type="gramEnd"/>
      <w:r w:rsidRPr="00B22E57">
        <w:rPr>
          <w:rFonts w:ascii="Times New Roman" w:hAnsi="Times New Roman" w:cs="Times New Roman"/>
          <w:sz w:val="20"/>
          <w:szCs w:val="20"/>
        </w:rPr>
        <w:t xml:space="preserve"> по соответствующему подвиду источников финансирования дефицитов бюджетов установлен в приложении № 4 к настоящему Порядку.</w:t>
      </w:r>
    </w:p>
    <w:p w:rsidR="00C07F26" w:rsidRPr="00B22E57" w:rsidRDefault="00C07F26" w:rsidP="0013399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IV. Перечень и правила применения в части детализации кодов расходов операций сектора</w:t>
      </w:r>
      <w:r w:rsidR="004A358B" w:rsidRPr="00B22E5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22E57">
        <w:rPr>
          <w:rFonts w:ascii="Times New Roman" w:hAnsi="Times New Roman" w:cs="Times New Roman"/>
          <w:sz w:val="20"/>
          <w:szCs w:val="20"/>
        </w:rPr>
        <w:t xml:space="preserve"> государственного управления, задействованных</w:t>
      </w:r>
      <w:r w:rsidR="004A358B" w:rsidRPr="00B22E57">
        <w:rPr>
          <w:rFonts w:ascii="Times New Roman" w:hAnsi="Times New Roman" w:cs="Times New Roman"/>
          <w:sz w:val="20"/>
          <w:szCs w:val="20"/>
        </w:rPr>
        <w:t xml:space="preserve"> </w:t>
      </w:r>
      <w:r w:rsidRPr="00B22E57">
        <w:rPr>
          <w:rFonts w:ascii="Times New Roman" w:hAnsi="Times New Roman" w:cs="Times New Roman"/>
          <w:sz w:val="20"/>
          <w:szCs w:val="20"/>
        </w:rPr>
        <w:t xml:space="preserve">в бюджете </w:t>
      </w:r>
      <w:r w:rsidR="00453730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>.</w:t>
      </w:r>
    </w:p>
    <w:p w:rsidR="00C07F26" w:rsidRPr="00B22E57" w:rsidRDefault="004A358B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07F26" w:rsidRPr="00B22E57">
        <w:rPr>
          <w:rFonts w:ascii="Times New Roman" w:hAnsi="Times New Roman" w:cs="Times New Roman"/>
          <w:sz w:val="20"/>
          <w:szCs w:val="20"/>
        </w:rPr>
        <w:t xml:space="preserve">Правила применения </w:t>
      </w:r>
      <w:proofErr w:type="gramStart"/>
      <w:r w:rsidR="00C07F26" w:rsidRPr="00B22E57">
        <w:rPr>
          <w:rFonts w:ascii="Times New Roman" w:hAnsi="Times New Roman" w:cs="Times New Roman"/>
          <w:sz w:val="20"/>
          <w:szCs w:val="20"/>
        </w:rPr>
        <w:t>кодов классификации операций сектора государственного управления</w:t>
      </w:r>
      <w:proofErr w:type="gramEnd"/>
      <w:r w:rsidR="00C07F26" w:rsidRPr="00B22E57">
        <w:rPr>
          <w:rFonts w:ascii="Times New Roman" w:hAnsi="Times New Roman" w:cs="Times New Roman"/>
          <w:sz w:val="20"/>
          <w:szCs w:val="20"/>
        </w:rPr>
        <w:t xml:space="preserve"> устанавливаются приказом Министерства финансов Российской Федерации от 29 ноября 2017 года № 209н «Об утверждении Порядка применения классификации операций сектора государственного управления».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В целях обеспечения полноты отражения в бюджетном (бухгалтерском) учете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 Правила применения детализированных статей, подстатей расходов операций сектора государственного управления установлены в разделе IV настоящего Порядка.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Перечень кодов статей, подстатей расходов операций сектора государственного управления с дополнительной детализацией установлен в Прило</w:t>
      </w:r>
      <w:r w:rsidR="0013399D">
        <w:rPr>
          <w:rFonts w:ascii="Times New Roman" w:hAnsi="Times New Roman" w:cs="Times New Roman"/>
          <w:sz w:val="20"/>
          <w:szCs w:val="20"/>
        </w:rPr>
        <w:t>жении № 5 к настоящему Порядку.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Подстатья 223 «Коммунальные услуги» детализирована элементами: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223.1 «Оплата услуг предоставления тепловой энергии»;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lastRenderedPageBreak/>
        <w:t>223.2 «Оплата услуг печного отопления»;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223.3 «Оплата услуг горячего водоснабжения»;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223.4 «Оплата услуг холодного водоснабжения»;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223.5 «Оплата услуг предоставления газа»;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223.6 «Оплата услуг предоставления электроэнергии»;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223.7 «Оплата услуг канализации, ассенизации, водоотведения»;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223.8 «Другие расходы по оплате коммунальных услуг»;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223.9 «Оплата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энергосервисных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договоров (контрактов)».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223.1 «Оплата услуг предоставления тепловой энергии», 223.3 «Оплата услуг горячего водоснабжения», 223.4 «Оплата услуг холодного водоснабжения», 223.5 «Оплата услуг предоставления газа», 223.6 «Оплата услуг предоставления электроэнергии»</w:t>
      </w:r>
      <w:r w:rsidR="001339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0A7992">
        <w:rPr>
          <w:rFonts w:ascii="Times New Roman" w:hAnsi="Times New Roman" w:cs="Times New Roman"/>
          <w:sz w:val="20"/>
          <w:szCs w:val="20"/>
        </w:rPr>
        <w:t xml:space="preserve">       </w:t>
      </w:r>
      <w:r w:rsidRPr="00B22E57">
        <w:rPr>
          <w:rFonts w:ascii="Times New Roman" w:hAnsi="Times New Roman" w:cs="Times New Roman"/>
          <w:sz w:val="20"/>
          <w:szCs w:val="20"/>
        </w:rPr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водо-, газораспредел</w:t>
      </w:r>
      <w:r w:rsidR="000A7992">
        <w:rPr>
          <w:rFonts w:ascii="Times New Roman" w:hAnsi="Times New Roman" w:cs="Times New Roman"/>
          <w:sz w:val="20"/>
          <w:szCs w:val="20"/>
        </w:rPr>
        <w:t>ительным и электрическим сетям.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223.2 «Оплата услуг печного отопления»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На данный элемент относятся расходы по оплате услуг печного отопления; договоров гражданско-правового характера, заключенных с кочегарами и сезонными истопниками.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223.7 «Оплата услуг канализации, ассенизации, водоотведения»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На данный элемент относятся расходы по оплате услуг канализации, ассенизации, водоотведения.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223.8 «Другие расходы по оплате коммунальных услуг»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На данный элемент относятся расходы:</w:t>
      </w:r>
    </w:p>
    <w:p w:rsidR="00C07F26" w:rsidRPr="00B22E57" w:rsidRDefault="004A358B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      </w:t>
      </w:r>
      <w:r w:rsidR="00C07F26" w:rsidRPr="00B22E57">
        <w:rPr>
          <w:rFonts w:ascii="Times New Roman" w:hAnsi="Times New Roman" w:cs="Times New Roman"/>
          <w:sz w:val="20"/>
          <w:szCs w:val="20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расходы арендатора по возмещению арендодателю стоимости коммунальных услуг;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другие аналогичные расходы.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        223.9 «Оплата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энергосервисных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договоров (контрактов)»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223.9 «Оплата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энергосервисных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договоров (контрактов)» детализирована элементами: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223.9.1 «Расходы на оплату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энергосервисных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договоров (контрактов) 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за счет экономии расходов на оплату услуг предоставления тепловой энергии»;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223.9.2 «Расходы на оплату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энергосервисных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договоров (контрактов) 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за счет экономии расходов на оплату услуг печного отопления»;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223.9.3 «Расходы на оплату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энергосервисных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договоров (контрактов) 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за счет экономии расходов на оплату услуг горячего водоснабжения»;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223.9.4 «Расходы на оплату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энергосервисных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договоров (контрактов) 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за счет экономии расходов на оплату услуг холодного водоснабжения»;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223.9.5 «Расходы на оплату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энергосервисных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договоров (контрактов) 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за счет экономии расходов на оплату услуг предоставления газа»;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lastRenderedPageBreak/>
        <w:t xml:space="preserve">223.9.6 «Расходы на оплату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энергосервисных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договоров (контрактов) 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за счет экономии расходов на оплату услуг предоставления электроэнергии».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На данные элементы относятся расходы на оплату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энергосервисных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договоров (контрактов) за счет экономии расходов на оплату услуг: предоставления тепловой энергии, печного отопления, горячего водоснабжения, холодного водоснабжения, предоставления газа, предоставления электроэнергии.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Оплата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энергосервисных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по видам энергетических ресурсов.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Подстатья 225 «Работы, услуги по содержанию имущества» детализирована элементами: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225.1 «Содержание нефинансовых активов в чистоте»;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225.2 «Текущий ремонт (ремонт)»;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225.3 «Капитальный ремонт»;</w:t>
      </w:r>
      <w:r w:rsidR="000A79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B22E57">
        <w:rPr>
          <w:rFonts w:ascii="Times New Roman" w:hAnsi="Times New Roman" w:cs="Times New Roman"/>
          <w:sz w:val="20"/>
          <w:szCs w:val="20"/>
        </w:rPr>
        <w:t>225.4 «Противопожарные мероприятия, связанные с содержанием имущества»;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225.5 «Пусконаладочные работы»;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225.6 «Другие расходы по содержанию имущества».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225.1 «Содержание нефинансовых активов в чистоте»</w:t>
      </w:r>
    </w:p>
    <w:p w:rsidR="00C07F26" w:rsidRPr="00B22E57" w:rsidRDefault="004A358B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="00C07F26" w:rsidRPr="00B22E57">
        <w:rPr>
          <w:rFonts w:ascii="Times New Roman" w:hAnsi="Times New Roman" w:cs="Times New Roman"/>
          <w:sz w:val="20"/>
          <w:szCs w:val="20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</w:t>
      </w:r>
      <w:proofErr w:type="gramEnd"/>
      <w:r w:rsidR="00C07F26" w:rsidRPr="00B22E5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07F26" w:rsidRPr="00B22E57">
        <w:rPr>
          <w:rFonts w:ascii="Times New Roman" w:hAnsi="Times New Roman" w:cs="Times New Roman"/>
          <w:sz w:val="20"/>
          <w:szCs w:val="20"/>
        </w:rPr>
        <w:t>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  <w:proofErr w:type="gramEnd"/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225.2 «Текущий ремонт (ремонт)»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На данный элемент относятся расходы по текущему ремонту.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225.3 «Капитальный ремонт»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На данный элемент относятся расходы по капитальному ремонту.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225.4 «Противопожарные мероприятия,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связанные с содержанием имущества»</w:t>
      </w:r>
    </w:p>
    <w:p w:rsidR="00C07F26" w:rsidRPr="00B22E57" w:rsidRDefault="004A358B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="00C07F26" w:rsidRPr="00B22E57">
        <w:rPr>
          <w:rFonts w:ascii="Times New Roman" w:hAnsi="Times New Roman" w:cs="Times New Roman"/>
          <w:sz w:val="20"/>
          <w:szCs w:val="20"/>
        </w:rPr>
        <w:t>На данный элемент относятся расходы на противопожарные мероприятия, связанные с содержанием имущества: 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  <w:proofErr w:type="gramEnd"/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225.5 «Пусконаладочные работы»</w:t>
      </w:r>
    </w:p>
    <w:p w:rsidR="00C07F26" w:rsidRPr="00B22E57" w:rsidRDefault="004A358B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     </w:t>
      </w:r>
      <w:r w:rsidR="00C07F26" w:rsidRPr="00B22E57">
        <w:rPr>
          <w:rFonts w:ascii="Times New Roman" w:hAnsi="Times New Roman" w:cs="Times New Roman"/>
          <w:sz w:val="20"/>
          <w:szCs w:val="20"/>
        </w:rPr>
        <w:t xml:space="preserve">На данный элемент относятся расходы на пусконаладочные работы «под нагрузкой» (расходы некапитального характера, осуществляемые при эксплуатации </w:t>
      </w:r>
      <w:r w:rsidR="000A7992">
        <w:rPr>
          <w:rFonts w:ascii="Times New Roman" w:hAnsi="Times New Roman" w:cs="Times New Roman"/>
          <w:sz w:val="20"/>
          <w:szCs w:val="20"/>
        </w:rPr>
        <w:t>объектов нефинансовых активов).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225.6 «Другие расходы по содержанию имущества»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На данный элемент относятся расходы </w:t>
      </w:r>
      <w:proofErr w:type="gramStart"/>
      <w:r w:rsidRPr="00B22E57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B22E57">
        <w:rPr>
          <w:rFonts w:ascii="Times New Roman" w:hAnsi="Times New Roman" w:cs="Times New Roman"/>
          <w:sz w:val="20"/>
          <w:szCs w:val="20"/>
        </w:rPr>
        <w:t>: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замазку, оклейку окон;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услуги по организации питания животных, находящихся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в оперативном управлении, а также их ветеринарное обслуживание;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оплату работ (услуг), осуществляемые в целях соблюдения нормативных предписаний по эксплуатации (содержанию) имущества,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lastRenderedPageBreak/>
        <w:t>а также в целях определения его технического состояния: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22E57">
        <w:rPr>
          <w:rFonts w:ascii="Times New Roman" w:hAnsi="Times New Roman" w:cs="Times New Roman"/>
          <w:sz w:val="20"/>
          <w:szCs w:val="20"/>
        </w:rPr>
        <w:t xml:space="preserve"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перепадомеров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>, измерительных медицинских аппаратов, спидометров;</w:t>
      </w:r>
      <w:proofErr w:type="gramEnd"/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обследование технического состояния (аттестацию) объектов нефинансовых активов, осуществляемое в целях получения информации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энергетическое обследование;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проведение бактериологических исследований воздуха </w:t>
      </w:r>
      <w:r w:rsidR="000A7992">
        <w:rPr>
          <w:rFonts w:ascii="Times New Roman" w:hAnsi="Times New Roman" w:cs="Times New Roman"/>
          <w:sz w:val="20"/>
          <w:szCs w:val="20"/>
        </w:rPr>
        <w:t xml:space="preserve"> </w:t>
      </w:r>
      <w:r w:rsidRPr="00B22E57">
        <w:rPr>
          <w:rFonts w:ascii="Times New Roman" w:hAnsi="Times New Roman" w:cs="Times New Roman"/>
          <w:sz w:val="20"/>
          <w:szCs w:val="20"/>
        </w:rPr>
        <w:t>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заправку картриджей;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реставрацию музейных предметов и музейных коллекций, включенных в состав музейных фондов;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проведение работ по реставрации нефинансовых активов,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за исключением работ, носящих характер реконструкции, модернизации, дооборудования;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восстановление эффективности функционирования объектов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 w:rsidRPr="00B22E57">
        <w:rPr>
          <w:rFonts w:ascii="Times New Roman" w:hAnsi="Times New Roman" w:cs="Times New Roman"/>
          <w:sz w:val="20"/>
          <w:szCs w:val="20"/>
        </w:rPr>
        <w:t>расходы</w:t>
      </w:r>
      <w:proofErr w:type="gramEnd"/>
      <w:r w:rsidRPr="00B22E57">
        <w:rPr>
          <w:rFonts w:ascii="Times New Roman" w:hAnsi="Times New Roman" w:cs="Times New Roman"/>
          <w:sz w:val="20"/>
          <w:szCs w:val="20"/>
        </w:rPr>
        <w:t xml:space="preserve"> на оплату которых отражаются по подстатье 223 «Коммунальные услуги»;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другие аналогичные расходы.</w:t>
      </w:r>
    </w:p>
    <w:p w:rsidR="00C07F26" w:rsidRPr="00B22E57" w:rsidRDefault="00C07F26" w:rsidP="000A79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Подстатья 226 «Прочие работы, услуги» детализирована элементами: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226.1 «Научно-исследовательские, опытно-конструкторские работы, услуги по типовому проектированию»;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226.3 «Проектные и изыскательские работы»;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226.4 «Услуги по организации питания»;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226.5 «Услуги по охране»;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226.7 «Услуги в области информационных технологий»;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226.8 «Типографские работы, услуги»;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226.9 «Медицинские услуги и санитарно-эпидемиологические работы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и услуги (не связанные с содержанием имущества)»; </w:t>
      </w:r>
    </w:p>
    <w:p w:rsidR="00C07F26" w:rsidRPr="00B22E57" w:rsidRDefault="004A358B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226.10 «Иные работы и услуги»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226.1 «Научно-исследовательские, опытно-конструкторские работы,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услуги по типовому проектированию»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На данный элемент относятся расходы на научно-исследовательские, опытно-конструкторские, опытно-технологические, </w:t>
      </w:r>
      <w:proofErr w:type="gramStart"/>
      <w:r w:rsidRPr="00B22E57">
        <w:rPr>
          <w:rFonts w:ascii="Times New Roman" w:hAnsi="Times New Roman" w:cs="Times New Roman"/>
          <w:sz w:val="20"/>
          <w:szCs w:val="20"/>
        </w:rPr>
        <w:t>геолого-разведочные</w:t>
      </w:r>
      <w:proofErr w:type="gramEnd"/>
      <w:r w:rsidRPr="00B22E57">
        <w:rPr>
          <w:rFonts w:ascii="Times New Roman" w:hAnsi="Times New Roman" w:cs="Times New Roman"/>
          <w:sz w:val="20"/>
          <w:szCs w:val="20"/>
        </w:rPr>
        <w:t xml:space="preserve"> работы, работы по типовому проектированию.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На данный элемент относятся расходы </w:t>
      </w:r>
      <w:proofErr w:type="gramStart"/>
      <w:r w:rsidRPr="00B22E57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B22E57">
        <w:rPr>
          <w:rFonts w:ascii="Times New Roman" w:hAnsi="Times New Roman" w:cs="Times New Roman"/>
          <w:sz w:val="20"/>
          <w:szCs w:val="20"/>
        </w:rPr>
        <w:t>: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lastRenderedPageBreak/>
        <w:t xml:space="preserve">разработку схем территориального планирования, градостроительных 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и технических регламентов, градостроительное зонирование, планировку территорий;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межевание границ земельных участков; 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проведение архитектурно-археологических обмеров;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разработку генеральных планов, совмещенных с проектом планировки территории;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226.3 «Проектные и изыскательские работы»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На данный элемент относятся расходы на проведение проектных </w:t>
      </w:r>
      <w:r w:rsidR="000A7992">
        <w:rPr>
          <w:rFonts w:ascii="Times New Roman" w:hAnsi="Times New Roman" w:cs="Times New Roman"/>
          <w:sz w:val="20"/>
          <w:szCs w:val="20"/>
        </w:rPr>
        <w:t xml:space="preserve"> </w:t>
      </w:r>
      <w:r w:rsidRPr="00B22E57">
        <w:rPr>
          <w:rFonts w:ascii="Times New Roman" w:hAnsi="Times New Roman" w:cs="Times New Roman"/>
          <w:sz w:val="20"/>
          <w:szCs w:val="20"/>
        </w:rPr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226.4 «Услуги по организации питания»</w:t>
      </w:r>
    </w:p>
    <w:p w:rsidR="00C07F26" w:rsidRPr="00B22E57" w:rsidRDefault="00EA45E2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07F26" w:rsidRPr="00B22E57">
        <w:rPr>
          <w:rFonts w:ascii="Times New Roman" w:hAnsi="Times New Roman" w:cs="Times New Roman"/>
          <w:sz w:val="20"/>
          <w:szCs w:val="20"/>
        </w:rPr>
        <w:t>На данный элемент относятся расходы на оплату услуг по организации питания.</w:t>
      </w:r>
    </w:p>
    <w:p w:rsidR="00C07F26" w:rsidRPr="00B22E57" w:rsidRDefault="00EA45E2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C07F26" w:rsidRPr="00B22E57">
        <w:rPr>
          <w:rFonts w:ascii="Times New Roman" w:hAnsi="Times New Roman" w:cs="Times New Roman"/>
          <w:sz w:val="20"/>
          <w:szCs w:val="20"/>
        </w:rPr>
        <w:t>226.5 «Услуги по охране»</w:t>
      </w:r>
    </w:p>
    <w:p w:rsidR="00C07F26" w:rsidRPr="00B22E57" w:rsidRDefault="00EA45E2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         </w:t>
      </w:r>
      <w:r w:rsidR="00C07F26" w:rsidRPr="00B22E57">
        <w:rPr>
          <w:rFonts w:ascii="Times New Roman" w:hAnsi="Times New Roman" w:cs="Times New Roman"/>
          <w:sz w:val="20"/>
          <w:szCs w:val="20"/>
        </w:rPr>
        <w:t>На данный элемент относятся расходы по услугам охраны, приобретаемым на основании договоров гражданско-правового характера с физ</w:t>
      </w:r>
      <w:r w:rsidR="000A7992">
        <w:rPr>
          <w:rFonts w:ascii="Times New Roman" w:hAnsi="Times New Roman" w:cs="Times New Roman"/>
          <w:sz w:val="20"/>
          <w:szCs w:val="20"/>
        </w:rPr>
        <w:t>ическими и юридическими лицами.</w:t>
      </w:r>
    </w:p>
    <w:p w:rsidR="00C07F26" w:rsidRPr="00B22E57" w:rsidRDefault="00C07F26" w:rsidP="0013399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226.7 «Услуги в области информационных технологий»</w:t>
      </w:r>
    </w:p>
    <w:p w:rsidR="00C07F26" w:rsidRPr="00B22E57" w:rsidRDefault="00EA45E2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07F26" w:rsidRPr="00B22E57">
        <w:rPr>
          <w:rFonts w:ascii="Times New Roman" w:hAnsi="Times New Roman" w:cs="Times New Roman"/>
          <w:sz w:val="20"/>
          <w:szCs w:val="20"/>
        </w:rPr>
        <w:t xml:space="preserve">На данный элемент относятся расходы </w:t>
      </w:r>
      <w:proofErr w:type="gramStart"/>
      <w:r w:rsidR="00C07F26" w:rsidRPr="00B22E57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C07F26" w:rsidRPr="00B22E57">
        <w:rPr>
          <w:rFonts w:ascii="Times New Roman" w:hAnsi="Times New Roman" w:cs="Times New Roman"/>
          <w:sz w:val="20"/>
          <w:szCs w:val="20"/>
        </w:rPr>
        <w:t>: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обеспечение безопасности информации и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режимно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>-секретных мероприятий;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услуги по защите электронного документооборота (поддержке программного продукта) с использованием сертификационных сре</w:t>
      </w:r>
      <w:proofErr w:type="gramStart"/>
      <w:r w:rsidRPr="00B22E57">
        <w:rPr>
          <w:rFonts w:ascii="Times New Roman" w:hAnsi="Times New Roman" w:cs="Times New Roman"/>
          <w:sz w:val="20"/>
          <w:szCs w:val="20"/>
        </w:rPr>
        <w:t>дств кр</w:t>
      </w:r>
      <w:proofErr w:type="gramEnd"/>
      <w:r w:rsidRPr="00B22E57">
        <w:rPr>
          <w:rFonts w:ascii="Times New Roman" w:hAnsi="Times New Roman" w:cs="Times New Roman"/>
          <w:sz w:val="20"/>
          <w:szCs w:val="20"/>
        </w:rPr>
        <w:t xml:space="preserve">иптографической защиты информации; </w:t>
      </w:r>
    </w:p>
    <w:p w:rsidR="00C07F26" w:rsidRPr="00B22E57" w:rsidRDefault="00C07F26" w:rsidP="00133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</w:t>
      </w:r>
      <w:r w:rsidR="000A7992">
        <w:rPr>
          <w:rFonts w:ascii="Times New Roman" w:hAnsi="Times New Roman" w:cs="Times New Roman"/>
          <w:sz w:val="20"/>
          <w:szCs w:val="20"/>
        </w:rPr>
        <w:t>по техническим каналам.</w:t>
      </w:r>
    </w:p>
    <w:p w:rsidR="00C07F26" w:rsidRPr="00B22E57" w:rsidRDefault="00C07F26" w:rsidP="0013399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226.8 «Типографские работы, услуги»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На данный элемент относятся расходы на перепл</w:t>
      </w:r>
      <w:r w:rsidR="000A7992">
        <w:rPr>
          <w:rFonts w:ascii="Times New Roman" w:hAnsi="Times New Roman" w:cs="Times New Roman"/>
          <w:sz w:val="20"/>
          <w:szCs w:val="20"/>
        </w:rPr>
        <w:t>етные работы, ксерокопирование.</w:t>
      </w:r>
    </w:p>
    <w:p w:rsidR="00C07F26" w:rsidRPr="00B22E57" w:rsidRDefault="00C07F26" w:rsidP="0013399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226.9«Медицинские услуги и санитарно-эпидемиологические </w:t>
      </w:r>
      <w:r w:rsidRPr="00B22E57">
        <w:rPr>
          <w:rFonts w:ascii="Times New Roman" w:hAnsi="Times New Roman" w:cs="Times New Roman"/>
          <w:sz w:val="20"/>
          <w:szCs w:val="20"/>
        </w:rPr>
        <w:br/>
        <w:t>работы и услуги»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На данный элемент относятся расходы </w:t>
      </w:r>
      <w:proofErr w:type="gramStart"/>
      <w:r w:rsidRPr="00B22E57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B22E57">
        <w:rPr>
          <w:rFonts w:ascii="Times New Roman" w:hAnsi="Times New Roman" w:cs="Times New Roman"/>
          <w:sz w:val="20"/>
          <w:szCs w:val="20"/>
        </w:rPr>
        <w:t>: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диспансеризации, медицинским осмотрам и освидетельствованию работников (включая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предрейсовые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осмотры водителей), состоящих в штате учреждения;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проведению медицинских анализов;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платным услугам, оказываемым центрами государственного санитарно-эпидемиологического надзора;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  <w:lang w:eastAsia="ru-RU"/>
        </w:rPr>
        <w:t>оплате иных медицинских услуг.</w:t>
      </w:r>
    </w:p>
    <w:p w:rsidR="00C07F26" w:rsidRPr="00B22E57" w:rsidRDefault="00C07F26" w:rsidP="0013399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226.10 «Иные работы и услуги»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На данный элемент относятся расходы </w:t>
      </w:r>
      <w:proofErr w:type="gramStart"/>
      <w:r w:rsidRPr="00B22E57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B22E57">
        <w:rPr>
          <w:rFonts w:ascii="Times New Roman" w:hAnsi="Times New Roman" w:cs="Times New Roman"/>
          <w:sz w:val="20"/>
          <w:szCs w:val="20"/>
        </w:rPr>
        <w:t>: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lastRenderedPageBreak/>
        <w:t xml:space="preserve">проведение государственной экспертизы проектной документации, осуществление строительного контроля, включая авторский надзор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оплату услуг по разработке технических условий присоединения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к сетям инженерно-технического обеспечения, увеличения потребляемой мощности;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услуги по предоставлению выписок из государственных реестров;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инкассаторские услуги;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подписку на периодические и справочные издания, в том числе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для читальных залов библиотек, с учетом доставки подписных изданий,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если она предусмотрена в договоре подписки;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услуги по курьерской доставке;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22E57">
        <w:rPr>
          <w:rFonts w:ascii="Times New Roman" w:hAnsi="Times New Roman" w:cs="Times New Roman"/>
          <w:sz w:val="20"/>
          <w:szCs w:val="20"/>
        </w:rPr>
        <w:t xml:space="preserve">услуги рекламного характера (в том числе, размещение объявлений </w:t>
      </w:r>
      <w:proofErr w:type="gramEnd"/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в средствах массовой информации);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услуги по 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демеркуризации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22E57">
        <w:rPr>
          <w:rFonts w:ascii="Times New Roman" w:hAnsi="Times New Roman" w:cs="Times New Roman"/>
          <w:sz w:val="20"/>
          <w:szCs w:val="20"/>
        </w:rPr>
        <w:t xml:space="preserve">услуги агентов (включая услуги организатора торговли, депозитария </w:t>
      </w:r>
      <w:proofErr w:type="gramEnd"/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и т.п.) по операциям с государственными (муниципальными) активами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и обязательствами;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оплату комиссионного вознаграждения за услуги и затрат, связанных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с осуществлением компенсационных выплат по сбережениям граждан;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услуги кредитных рейтинговых агентств по присвоению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и поддержанию кредитного рейтинга Республики Башкортостан;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оплату договоров гражданско-правового характера на оказание услуг по проживанию в жилых помещениях (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найм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жилого помещения) на период соревнований, учебной практики;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оплату за проживание в жилых помещениях понятых, а также иных лиц, принудительно доставленных в суд или к судебному приставу-исполнителю;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проведение инвентаризации и паспортизации зданий, сооружений, других основных средств;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работы по погрузке, разгрузке, укладке, складированию нефинансовых активов;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работы по распиловке, колке и укладке дров;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услуги и работы по утилизации, захоронению отходов;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услуги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22E57">
        <w:rPr>
          <w:rFonts w:ascii="Times New Roman" w:hAnsi="Times New Roman" w:cs="Times New Roman"/>
          <w:sz w:val="20"/>
          <w:szCs w:val="20"/>
        </w:rPr>
        <w:lastRenderedPageBreak/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</w:t>
      </w:r>
      <w:proofErr w:type="gramEnd"/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в закрытом аукционе, иные функции, связанные с обеспечением проведения торгов);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услуги и работы по организации временных выставок по искусству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услуги и работы по организации и проведению разного рода мероприятий путем оформления между заказчиком мероприятия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  <w:r w:rsidR="000A799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22E57">
        <w:rPr>
          <w:rFonts w:ascii="Times New Roman" w:hAnsi="Times New Roman" w:cs="Times New Roman"/>
          <w:sz w:val="20"/>
          <w:szCs w:val="20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услуги по обучению на курсах повышения квалификации, подготовки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и переподготовки специалистов;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оплату юридических и адвокатских услуг, в том числе связанных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с представлением интересов Российской Федерации в международных судебных и иных юридических спорах;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услуги, оказываемые в рамках договора комиссии;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плату за пользование наплавным мостом (понтонной переправой), платной автомобильной дорогой;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услуги по изготовлению объектов нефинансовых активов из материала заказчика;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плату за использование радиочастотного спектра;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оплату представительских расходов, прием и обслуживание делегаций;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расходы, осуществляемые в целях реализации соглашений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с международными финансовыми организациями;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другие аналогичные расходы, не отнесенные на элементы 226.1 – 226.5, 226.7-226.9.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Также на данный элемент относятся расходы </w:t>
      </w:r>
      <w:proofErr w:type="gramStart"/>
      <w:r w:rsidRPr="00B22E57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B22E57">
        <w:rPr>
          <w:rFonts w:ascii="Times New Roman" w:hAnsi="Times New Roman" w:cs="Times New Roman"/>
          <w:sz w:val="20"/>
          <w:szCs w:val="20"/>
        </w:rPr>
        <w:t>: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возмещение персоналу расходов, связанных со служебными командировками: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проезду к месту служебной командировки и обратно к месту постоянной работы транспортом общего пользования, соответственно,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lastRenderedPageBreak/>
        <w:t>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по найму жилых помещений;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B22E57">
        <w:rPr>
          <w:rFonts w:ascii="Times New Roman" w:hAnsi="Times New Roman" w:cs="Times New Roman"/>
          <w:sz w:val="20"/>
          <w:szCs w:val="20"/>
        </w:rPr>
        <w:t>ведома</w:t>
      </w:r>
      <w:proofErr w:type="gramEnd"/>
      <w:r w:rsidRPr="00B22E57">
        <w:rPr>
          <w:rFonts w:ascii="Times New Roman" w:hAnsi="Times New Roman" w:cs="Times New Roman"/>
          <w:sz w:val="20"/>
          <w:szCs w:val="20"/>
        </w:rPr>
        <w:t xml:space="preserve"> работодателя в соответствии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с коллективным договором или локальным актом работодателя;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возмещение персоналу расходов на прохождение медицинского осмотра;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компенсация за содержание служебных собак по месту жительства;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компенсация стоимости вещевого имущества;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B22E57">
        <w:rPr>
          <w:rFonts w:ascii="Times New Roman" w:hAnsi="Times New Roman" w:cs="Times New Roman"/>
          <w:sz w:val="20"/>
          <w:szCs w:val="20"/>
        </w:rPr>
        <w:t>найм</w:t>
      </w:r>
      <w:proofErr w:type="spellEnd"/>
      <w:r w:rsidRPr="00B22E57">
        <w:rPr>
          <w:rFonts w:ascii="Times New Roman" w:hAnsi="Times New Roman" w:cs="Times New Roman"/>
          <w:sz w:val="20"/>
          <w:szCs w:val="20"/>
        </w:rPr>
        <w:t xml:space="preserve"> жилого помещения) спортсменам и студентам при их направлении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22E57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B22E5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22E57">
        <w:rPr>
          <w:rFonts w:ascii="Times New Roman" w:hAnsi="Times New Roman" w:cs="Times New Roman"/>
          <w:sz w:val="20"/>
          <w:szCs w:val="20"/>
        </w:rPr>
        <w:t>различного</w:t>
      </w:r>
      <w:proofErr w:type="gramEnd"/>
      <w:r w:rsidRPr="00B22E57">
        <w:rPr>
          <w:rFonts w:ascii="Times New Roman" w:hAnsi="Times New Roman" w:cs="Times New Roman"/>
          <w:sz w:val="20"/>
          <w:szCs w:val="20"/>
        </w:rPr>
        <w:t xml:space="preserve"> рода мероприятия (соревнования, олимпиады, учебную практику и иные мероприятия).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по обязател</w:t>
      </w:r>
      <w:r w:rsidR="00EA45E2" w:rsidRPr="00B22E57">
        <w:rPr>
          <w:rFonts w:ascii="Times New Roman" w:hAnsi="Times New Roman" w:cs="Times New Roman"/>
          <w:sz w:val="20"/>
          <w:szCs w:val="20"/>
        </w:rPr>
        <w:t>ьному медицинскому страхованию.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251.1 «Перечисления другим бюджетам бюджетной системы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Российской Федерации (для исключения внутренних оборотов)»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251.3 «Перечисления другим бюджетам бюджетной системы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22E57">
        <w:rPr>
          <w:rFonts w:ascii="Times New Roman" w:hAnsi="Times New Roman" w:cs="Times New Roman"/>
          <w:sz w:val="20"/>
          <w:szCs w:val="20"/>
        </w:rPr>
        <w:t>Российской Федерации (не исключаемые из внутренних оборотов)»</w:t>
      </w:r>
      <w:proofErr w:type="gramEnd"/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На данный элемент относятся расходы на предоставление межбюджетных трансфертов другим бюджетам бюджетной системы, </w:t>
      </w:r>
    </w:p>
    <w:p w:rsidR="00C07F26" w:rsidRPr="00B22E57" w:rsidRDefault="00EA45E2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не участвующим в консолидации.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Статья 310 «Увеличение стоимости основных средств» детализирована подстатьями: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311 «Увеличение стоимости основных средств, осуществляемое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в рамках бюджетных инвестиций»;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312 «Иные расходы, связанные с увеличением стоимости основных средств».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311 «Увеличение стоимости основных средств,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22E57">
        <w:rPr>
          <w:rFonts w:ascii="Times New Roman" w:hAnsi="Times New Roman" w:cs="Times New Roman"/>
          <w:sz w:val="20"/>
          <w:szCs w:val="20"/>
        </w:rPr>
        <w:t>осуществляемое</w:t>
      </w:r>
      <w:proofErr w:type="gramEnd"/>
      <w:r w:rsidRPr="00B22E57">
        <w:rPr>
          <w:rFonts w:ascii="Times New Roman" w:hAnsi="Times New Roman" w:cs="Times New Roman"/>
          <w:sz w:val="20"/>
          <w:szCs w:val="20"/>
        </w:rPr>
        <w:t xml:space="preserve"> в рамках бюджетных инвестиций»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lastRenderedPageBreak/>
        <w:t xml:space="preserve">на реконструкцию, техническое перевооружение, расширение, модернизацию (модернизацию с дооборудованием) основных средств, находящихся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в государственной (муниципальной) собственности, </w:t>
      </w:r>
      <w:proofErr w:type="gramStart"/>
      <w:r w:rsidRPr="00B22E57">
        <w:rPr>
          <w:rFonts w:ascii="Times New Roman" w:hAnsi="Times New Roman" w:cs="Times New Roman"/>
          <w:sz w:val="20"/>
          <w:szCs w:val="20"/>
        </w:rPr>
        <w:t>полученных</w:t>
      </w:r>
      <w:proofErr w:type="gramEnd"/>
      <w:r w:rsidRPr="00B22E57">
        <w:rPr>
          <w:rFonts w:ascii="Times New Roman" w:hAnsi="Times New Roman" w:cs="Times New Roman"/>
          <w:sz w:val="20"/>
          <w:szCs w:val="20"/>
        </w:rPr>
        <w:t xml:space="preserve"> в аренду</w:t>
      </w:r>
      <w:r w:rsidR="00EA45E2" w:rsidRPr="00B22E57">
        <w:rPr>
          <w:rFonts w:ascii="Times New Roman" w:hAnsi="Times New Roman" w:cs="Times New Roman"/>
          <w:sz w:val="20"/>
          <w:szCs w:val="20"/>
        </w:rPr>
        <w:t xml:space="preserve"> или безвозмездное пользование.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312 «Иные расходы, связанные с увеличением стоимости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основных средств»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311.Подстатья</w:t>
      </w:r>
      <w:r w:rsidR="00B22E57" w:rsidRPr="00B22E5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0A799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22E57">
        <w:rPr>
          <w:rFonts w:ascii="Times New Roman" w:hAnsi="Times New Roman" w:cs="Times New Roman"/>
          <w:sz w:val="20"/>
          <w:szCs w:val="20"/>
        </w:rPr>
        <w:t xml:space="preserve"> 343 «Увеличение стоимости горюче-смазочных материалов» детализирована элементами: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343.1 «Увеличение стоимости топливно-энергетических ресурсов»;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343.2 «Увеличение стоимости прочих горюче-смазочных материалов».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343.1 «Увеличение стоимости топливно-энергетических ресурсов»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На данный элемент относятся расходы по оплате договоров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на приобретение дров и угля.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343.2 «Увеличение стоимости прочих горюче-смазочных материалов»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На данный элемент относятся расходы по оплате договоров 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на приобретение прочих горюче-смазочных материалов, за исключением вышеперечисленных расходов по элементу 343.1.</w:t>
      </w:r>
    </w:p>
    <w:p w:rsidR="00C07F26" w:rsidRPr="00B22E57" w:rsidRDefault="00C07F26" w:rsidP="0013399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Статья 888 «Сводные расходы, формируемые в рамках аналитики»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По данной статье отражается контрольный показатель предельного объема финансирования, рассчитанный Министерством финансов Республики Башкортостан.</w:t>
      </w:r>
    </w:p>
    <w:p w:rsidR="00C07F26" w:rsidRPr="00B22E57" w:rsidRDefault="00C07F26" w:rsidP="0013399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Статья 999 «Условно утвержденные расходы»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На данную статью относятся расходы, не распределенные в плановом периоде.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A7992" w:rsidRDefault="000A7992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A7992" w:rsidRDefault="000A7992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A7992" w:rsidRDefault="000A7992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A7992" w:rsidRDefault="000A7992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A7992" w:rsidRDefault="000A7992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A7992" w:rsidRDefault="000A7992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A7992" w:rsidRDefault="000A7992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A7992" w:rsidRDefault="000A7992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A7992" w:rsidRDefault="000A7992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A7992" w:rsidRPr="00B22E57" w:rsidRDefault="000A7992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C07F26" w:rsidRPr="00B22E57" w:rsidTr="004A358B">
        <w:tc>
          <w:tcPr>
            <w:tcW w:w="5353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№1 </w:t>
            </w:r>
          </w:p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Порядку применения бюджетной классификации Российской Федерации в части, относящейся к бюджету </w:t>
            </w:r>
            <w:r w:rsidR="004537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2E57">
        <w:rPr>
          <w:rFonts w:ascii="Times New Roman" w:hAnsi="Times New Roman" w:cs="Times New Roman"/>
          <w:sz w:val="20"/>
          <w:szCs w:val="20"/>
          <w:lang w:eastAsia="ru-RU"/>
        </w:rPr>
        <w:t>Перечень кодов подвидов доходов бюджетов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2E57">
        <w:rPr>
          <w:rFonts w:ascii="Times New Roman" w:hAnsi="Times New Roman" w:cs="Times New Roman"/>
          <w:sz w:val="20"/>
          <w:szCs w:val="20"/>
          <w:lang w:eastAsia="ru-RU"/>
        </w:rPr>
        <w:t>по видам доходов бюджетов, главными администраторами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B22E57">
        <w:rPr>
          <w:rFonts w:ascii="Times New Roman" w:hAnsi="Times New Roman" w:cs="Times New Roman"/>
          <w:sz w:val="20"/>
          <w:szCs w:val="20"/>
          <w:lang w:eastAsia="ru-RU"/>
        </w:rPr>
        <w:t>которых</w:t>
      </w:r>
      <w:proofErr w:type="gramEnd"/>
      <w:r w:rsidRPr="00B22E57">
        <w:rPr>
          <w:rFonts w:ascii="Times New Roman" w:hAnsi="Times New Roman" w:cs="Times New Roman"/>
          <w:sz w:val="20"/>
          <w:szCs w:val="20"/>
          <w:lang w:eastAsia="ru-RU"/>
        </w:rPr>
        <w:t xml:space="preserve">  являются органы местного самоуправления </w:t>
      </w:r>
      <w:r w:rsidR="00453730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  <w:lang w:eastAsia="ru-RU"/>
        </w:rPr>
        <w:t xml:space="preserve"> и (или) находящиеся в их ведении казенные учреждения.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954"/>
      </w:tblGrid>
      <w:tr w:rsidR="00C07F26" w:rsidRPr="00B22E57" w:rsidTr="004A358B">
        <w:tc>
          <w:tcPr>
            <w:tcW w:w="3544" w:type="dxa"/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кода вида, </w:t>
            </w:r>
          </w:p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подвида доходов бюджетов</w:t>
            </w:r>
          </w:p>
        </w:tc>
      </w:tr>
    </w:tbl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9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3"/>
        <w:gridCol w:w="501"/>
      </w:tblGrid>
      <w:tr w:rsidR="00C07F26" w:rsidRPr="00B22E57" w:rsidTr="004A358B">
        <w:trPr>
          <w:cantSplit/>
          <w:tblHeader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000 1 08 00000 00 0000 000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000 1 08 04020 01 0000 110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    пошлина     за     совершение нотариальных действий должностными лицами органов  местного   самоуправления,   уполномоченными   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 НАХОДЯЩЕГОСЯ   В ГОСУДАРСТВЕННОЙ И МУНИЦИПАЛЬНОЙ СОБСТВЕННОСТИ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gridAfter w:val="1"/>
          <w:wAfter w:w="501" w:type="dxa"/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000 1 11 03050 10 0000 120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07F26" w:rsidRPr="00B22E57" w:rsidTr="004A358B">
        <w:trPr>
          <w:gridAfter w:val="1"/>
          <w:wAfter w:w="501" w:type="dxa"/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000 1 11 09015 10 0000 120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C07F26" w:rsidRPr="00B22E57" w:rsidTr="004A358B">
        <w:trPr>
          <w:gridAfter w:val="1"/>
          <w:wAfter w:w="501" w:type="dxa"/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000 1 11 09025 10 0000 120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</w:tbl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  <w:sectPr w:rsidR="00C07F26" w:rsidRPr="00B22E57" w:rsidSect="004A358B">
          <w:footerReference w:type="default" r:id="rId10"/>
          <w:pgSz w:w="11906" w:h="16838"/>
          <w:pgMar w:top="567" w:right="424" w:bottom="142" w:left="993" w:header="709" w:footer="709" w:gutter="0"/>
          <w:pgNumType w:start="2"/>
          <w:cols w:space="708"/>
          <w:docGrid w:linePitch="360"/>
        </w:sect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9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3"/>
        <w:gridCol w:w="501"/>
      </w:tblGrid>
      <w:tr w:rsidR="00C07F26" w:rsidRPr="00B22E57" w:rsidTr="004A358B">
        <w:trPr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000 1 11 09045 10 0000 120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000 1 12 04051 10 0000 120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000 1 12 04052 10 0000 120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000 1 13 02065 10 0000 130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000 1 13 02995 10 0000 130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000 1 14 01050 10 0000 410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000 1 14 03050 10 0000 410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000 1 14 03050 10 0000 440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000 1 14 04050 10 0000 420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000 1 15 00000 00 0000 000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000 1 15 02050 10 0000 140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муниципальном органом, казенным учреждением сельского поселения.</w:t>
            </w:r>
            <w:proofErr w:type="gramEnd"/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000 1 16 07030 10 0000 140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муниципальном органом, казенным учреждением, сельского поселения.</w:t>
            </w:r>
            <w:proofErr w:type="gramEnd"/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000 1 16 07040 10 0000 140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000 1 16 07090 10 0000 140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000 1 16 10031 10 0000 140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000 1 16 10032 10 0000 140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000 1 16 10081 10 0000 140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000 1 16 10082 10 0000 140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000 1 17 14030 10 0000 180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F26" w:rsidRPr="00B22E57" w:rsidTr="004A358B">
        <w:trPr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000 2 00 00000 00 0000 000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2E57" w:rsidRPr="00B22E57" w:rsidRDefault="00B22E57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2E57" w:rsidRPr="00B22E57" w:rsidRDefault="00B22E57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2E57" w:rsidRPr="00B22E57" w:rsidRDefault="00B22E57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2E57" w:rsidRPr="00B22E57" w:rsidRDefault="00B22E57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2E57" w:rsidRPr="00B22E57" w:rsidRDefault="00B22E57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2E57" w:rsidRPr="00B22E57" w:rsidRDefault="00B22E57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2E57" w:rsidRPr="00B22E57" w:rsidRDefault="00B22E57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2E57" w:rsidRPr="00B22E57" w:rsidRDefault="00B22E57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2E57" w:rsidRPr="00B22E57" w:rsidRDefault="00B22E57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2E57" w:rsidRPr="00B22E57" w:rsidRDefault="00B22E57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2E57" w:rsidRPr="00B22E57" w:rsidRDefault="00B22E57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7F26" w:rsidRPr="00B22E57" w:rsidTr="004A358B">
        <w:tc>
          <w:tcPr>
            <w:tcW w:w="4785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Порядку применения </w:t>
            </w:r>
          </w:p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бюджетной классификации </w:t>
            </w:r>
          </w:p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Российской Федерации в части, </w:t>
            </w:r>
          </w:p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относящейся</w:t>
            </w:r>
            <w:proofErr w:type="gramEnd"/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бюджету </w:t>
            </w:r>
          </w:p>
          <w:p w:rsidR="00C07F26" w:rsidRPr="00B22E57" w:rsidRDefault="00453730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  <w:r w:rsidR="00C07F26"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>Перечень</w:t>
      </w:r>
      <w:r w:rsidR="00B22E57" w:rsidRPr="00B22E57">
        <w:rPr>
          <w:rFonts w:ascii="Times New Roman" w:hAnsi="Times New Roman" w:cs="Times New Roman"/>
          <w:sz w:val="20"/>
          <w:szCs w:val="20"/>
        </w:rPr>
        <w:t xml:space="preserve"> главных распорядителей средств  </w:t>
      </w:r>
      <w:r w:rsidRPr="00B22E57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453730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2E57">
        <w:rPr>
          <w:rFonts w:ascii="Times New Roman" w:hAnsi="Times New Roman" w:cs="Times New Roman"/>
          <w:sz w:val="20"/>
          <w:szCs w:val="20"/>
        </w:rPr>
        <w:t>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8189"/>
      </w:tblGrid>
      <w:tr w:rsidR="00C07F26" w:rsidRPr="00B22E57" w:rsidTr="004A358B">
        <w:trPr>
          <w:cantSplit/>
          <w:trHeight w:val="796"/>
        </w:trPr>
        <w:tc>
          <w:tcPr>
            <w:tcW w:w="1372" w:type="dxa"/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189" w:type="dxa"/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главных распорядителей средств бюджета сельского поселения Дурасовский сельсовет муниципального района Чишминский район Республики Башкортостан</w:t>
            </w:r>
          </w:p>
        </w:tc>
      </w:tr>
    </w:tbl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561" w:type="dxa"/>
        <w:tblInd w:w="-4" w:type="dxa"/>
        <w:tblLook w:val="0000" w:firstRow="0" w:lastRow="0" w:firstColumn="0" w:lastColumn="0" w:noHBand="0" w:noVBand="0"/>
      </w:tblPr>
      <w:tblGrid>
        <w:gridCol w:w="1372"/>
        <w:gridCol w:w="8189"/>
      </w:tblGrid>
      <w:tr w:rsidR="00C07F26" w:rsidRPr="00B22E57" w:rsidTr="004A358B">
        <w:trPr>
          <w:cantSplit/>
          <w:trHeight w:val="348"/>
          <w:tblHeader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07F26" w:rsidRPr="00B22E57" w:rsidTr="004A358B">
        <w:trPr>
          <w:cantSplit/>
          <w:trHeight w:val="79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 поселений</w:t>
            </w:r>
          </w:p>
        </w:tc>
      </w:tr>
    </w:tbl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2E57" w:rsidRPr="00B22E57" w:rsidRDefault="00B22E57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7F26" w:rsidRPr="00B22E57" w:rsidTr="004A358B">
        <w:tc>
          <w:tcPr>
            <w:tcW w:w="4785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Порядку применения </w:t>
            </w:r>
          </w:p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бюджетной классификации </w:t>
            </w:r>
          </w:p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Российской Федерации в части, </w:t>
            </w:r>
          </w:p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относящейся</w:t>
            </w:r>
            <w:proofErr w:type="gramEnd"/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бюджету </w:t>
            </w:r>
          </w:p>
          <w:p w:rsidR="00C07F26" w:rsidRPr="00B22E57" w:rsidRDefault="00453730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</w:tbl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Перечень целевых статей расходов бюджета  </w:t>
      </w:r>
      <w:r w:rsidR="00453730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bookmarkStart w:id="0" w:name="_GoBack"/>
      <w:bookmarkEnd w:id="0"/>
      <w:r w:rsidRPr="00B22E57">
        <w:rPr>
          <w:rFonts w:ascii="Times New Roman" w:hAnsi="Times New Roman" w:cs="Times New Roman"/>
          <w:sz w:val="20"/>
          <w:szCs w:val="20"/>
        </w:rPr>
        <w:t>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195"/>
      </w:tblGrid>
      <w:tr w:rsidR="00C07F26" w:rsidRPr="00B22E57" w:rsidTr="004A358B">
        <w:trPr>
          <w:cantSplit/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целевой статьи расходов</w:t>
            </w:r>
          </w:p>
        </w:tc>
      </w:tr>
      <w:tr w:rsidR="00C07F26" w:rsidRPr="00B22E57" w:rsidTr="004A358B">
        <w:trPr>
          <w:cantSplit/>
          <w:trHeight w:val="317"/>
        </w:trPr>
        <w:tc>
          <w:tcPr>
            <w:tcW w:w="2376" w:type="dxa"/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07F26" w:rsidRPr="00B22E57" w:rsidTr="004A358B">
        <w:trPr>
          <w:cantSplit/>
          <w:trHeight w:val="7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развитие территорий сельских поселений муниципального района Чишминский район Республики Башкортостан"</w:t>
            </w:r>
          </w:p>
        </w:tc>
      </w:tr>
      <w:tr w:rsidR="00C07F26" w:rsidRPr="00B22E57" w:rsidTr="004A358B">
        <w:trPr>
          <w:cantSplit/>
          <w:trHeight w:val="7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20 1 00 00000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"Управление муниципальными финансами сельских поселений муниципального района Чишминский район РБ"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20 1 01 00000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"Резервный фонд СП"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20 1 01 07500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20 1 02 00000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20 1 02 74000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1 02 S2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 1 02 S22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1 02 S22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20 1 02 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L4970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1 02 L5675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C07F26" w:rsidRPr="00B22E57" w:rsidTr="004A358B">
        <w:trPr>
          <w:cantSplit/>
          <w:trHeight w:val="15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20 2 00 00000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"Осуществление государственных полномочий по первичному воинскому учету на территории сельских поселений муниципального района Чишминский район РБ"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20 2 01 00000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20 2 01 51180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комиссариаты.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20 3 00 00000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"Жилищно-коммунальное хозяйство и благоустройство территории сельских поселений муниципального района Чишминский район РБ"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20 3 01 00000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жилищному хозяйству"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20 3 01 03530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20 3 01 03610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20 3 01 98210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20 3 02 00000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20 3 02 03560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 хозяйства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20 3 02 09040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и обслуживание муниципальной казны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20 3 02 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74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3 02 S24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3 02 S247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20 3 02 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3 02 S247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20 3 03 00000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 населенных пунктов"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20 3 03 03560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 хозяйства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20 3 03 06050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20 3 03 41200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экологии и природопользования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20 3 03 74040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3 03 S2010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офинансирование</w:t>
            </w:r>
            <w:proofErr w:type="spellEnd"/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C07F26" w:rsidRPr="00B22E57" w:rsidTr="004A358B">
        <w:trPr>
          <w:cantSplit/>
          <w:trHeight w:val="10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3 03 S2310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3 03 S2471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3 03 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3 03 S2473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20 3 04 00000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мест захоронения"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20 3 04 06400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20 3 04 74040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3 04 S2471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3 04 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3 04 S2473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20 4 00 00000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"Модернизация и развитие автомобильных </w:t>
            </w:r>
            <w:proofErr w:type="gramStart"/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дорог общего пользования местного значения сельских поселений муниципального района</w:t>
            </w:r>
            <w:proofErr w:type="gramEnd"/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Чишминский район РБ"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20 4 01 00000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20 4 01 03150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20 4 01 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74040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4 01 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4 01 S2473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20 4 0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"Ремонт автомобильных дорог"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20 4 02 03150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20 4 02 06050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20 4 02 74040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4 02 S247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4 02 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4 02 S247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сельских поселений муниципального района Чишминский район"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территории"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20 5 01 74040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20 5 01 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24300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5 01 S2471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5 01 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5 01 S247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"Управление и содержание имущества казны сельских поселений муниципального района Чишминский район"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20 6 0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"Независимая оценка стоимости земельных участков, находящихся в казне"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20 6 01 0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902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20 6 01 0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904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и обслуживание муниципальной казны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6 01 S2471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6 01 S247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6 01 S247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"Проведение землеустроительных мероприятий на территории сельских поселений муниципального района Чишминский район"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 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7 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землеустроительных мероприятий на территории сельского поселения"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20 7 01 0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333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работ по землеустройству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20 7 01 0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338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"Повышение </w:t>
            </w:r>
            <w:proofErr w:type="gramStart"/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эффективности деятельности органов местного самоуправления сельских поселений</w:t>
            </w:r>
            <w:proofErr w:type="gramEnd"/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8 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20 8 01 0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203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20 8 01 0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204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20 8 01 0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902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20 8 01 0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904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и обслуживание муниципальной казны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"Молодежь сельских поселений муниципального района Чишминский район"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9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для молодежи сельского поселения"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20 9 01 </w:t>
            </w:r>
            <w:r w:rsidRPr="00B22E5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43110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сфере молодежной политики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</w:tr>
      <w:tr w:rsidR="00C07F26" w:rsidRPr="00B22E57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99 0 00 02200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образования.</w:t>
            </w:r>
          </w:p>
        </w:tc>
      </w:tr>
    </w:tbl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53730" w:rsidRPr="00B22E57" w:rsidRDefault="00453730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7F26" w:rsidRPr="00B22E57" w:rsidTr="004A358B">
        <w:tc>
          <w:tcPr>
            <w:tcW w:w="4785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Порядку применения </w:t>
            </w:r>
          </w:p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бюджетной классификации </w:t>
            </w:r>
          </w:p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Российской Федерации в части, </w:t>
            </w:r>
          </w:p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относящейся</w:t>
            </w:r>
            <w:proofErr w:type="gramEnd"/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бюджету </w:t>
            </w:r>
          </w:p>
          <w:p w:rsidR="00C07F26" w:rsidRPr="00B22E57" w:rsidRDefault="00453730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</w:tbl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2E57">
        <w:rPr>
          <w:rFonts w:ascii="Times New Roman" w:hAnsi="Times New Roman" w:cs="Times New Roman"/>
          <w:sz w:val="20"/>
          <w:szCs w:val="20"/>
          <w:lang w:eastAsia="ru-RU"/>
        </w:rPr>
        <w:t xml:space="preserve">Перечень </w:t>
      </w:r>
      <w:proofErr w:type="gramStart"/>
      <w:r w:rsidRPr="00B22E57">
        <w:rPr>
          <w:rFonts w:ascii="Times New Roman" w:hAnsi="Times New Roman" w:cs="Times New Roman"/>
          <w:sz w:val="20"/>
          <w:szCs w:val="20"/>
          <w:lang w:eastAsia="ru-RU"/>
        </w:rPr>
        <w:t>кодов источников финансирования дефицита бюджета</w:t>
      </w:r>
      <w:proofErr w:type="gramEnd"/>
      <w:r w:rsidRPr="00B22E5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C07F26" w:rsidRPr="00B22E57" w:rsidRDefault="00453730" w:rsidP="0013399D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="00C07F26" w:rsidRPr="00B22E57">
        <w:rPr>
          <w:rFonts w:ascii="Times New Roman" w:hAnsi="Times New Roman" w:cs="Times New Roman"/>
          <w:sz w:val="20"/>
          <w:szCs w:val="20"/>
          <w:lang w:eastAsia="ru-RU"/>
        </w:rPr>
        <w:t xml:space="preserve"> по соответствующему виду источников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17"/>
      </w:tblGrid>
      <w:tr w:rsidR="00C07F26" w:rsidRPr="00B22E57" w:rsidTr="004A358B">
        <w:tc>
          <w:tcPr>
            <w:tcW w:w="3544" w:type="dxa"/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017" w:type="dxa"/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</w:tbl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17"/>
      </w:tblGrid>
      <w:tr w:rsidR="00C07F26" w:rsidRPr="00B22E57" w:rsidTr="004A358B">
        <w:trPr>
          <w:cantSplit/>
          <w:tblHeader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7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07F26" w:rsidRPr="00B22E57" w:rsidTr="004A358B">
        <w:trPr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6017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C07F26" w:rsidRPr="00B22E57" w:rsidTr="004A358B">
        <w:trPr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6017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C07F26" w:rsidRPr="00B22E57" w:rsidTr="004A358B">
        <w:trPr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000 01 05 02 01 05 0000 510 </w:t>
            </w:r>
          </w:p>
        </w:tc>
        <w:tc>
          <w:tcPr>
            <w:tcW w:w="6017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Поступление на счета бюджетов</w:t>
            </w:r>
          </w:p>
        </w:tc>
      </w:tr>
      <w:tr w:rsidR="00C07F26" w:rsidRPr="00B22E57" w:rsidTr="004A358B">
        <w:trPr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6017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Выбытие со счетов бюджетов</w:t>
            </w:r>
          </w:p>
        </w:tc>
      </w:tr>
      <w:tr w:rsidR="00C07F26" w:rsidRPr="00B22E57" w:rsidTr="004A358B">
        <w:trPr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6017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</w:tr>
      <w:tr w:rsidR="00C07F26" w:rsidRPr="00B22E57" w:rsidTr="004A358B">
        <w:trPr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000 01 06 05 02 05 0000 540 </w:t>
            </w:r>
          </w:p>
        </w:tc>
        <w:tc>
          <w:tcPr>
            <w:tcW w:w="6017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задолженности по бюджетным кредитам</w:t>
            </w:r>
          </w:p>
        </w:tc>
      </w:tr>
      <w:tr w:rsidR="00C07F26" w:rsidRPr="00B22E57" w:rsidTr="004A358B">
        <w:trPr>
          <w:cantSplit/>
        </w:trPr>
        <w:tc>
          <w:tcPr>
            <w:tcW w:w="3544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000 01 06 05 02 05 0000 640</w:t>
            </w:r>
          </w:p>
        </w:tc>
        <w:tc>
          <w:tcPr>
            <w:tcW w:w="6017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Уменьшение задолженности по бюджетным ссудам и кредитам</w:t>
            </w:r>
          </w:p>
        </w:tc>
      </w:tr>
    </w:tbl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2E57" w:rsidRPr="00B22E57" w:rsidRDefault="00B22E57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53730" w:rsidRDefault="00453730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53730" w:rsidRDefault="00453730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53730" w:rsidRDefault="00453730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53730" w:rsidRDefault="00453730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53730" w:rsidRPr="00B22E57" w:rsidRDefault="00453730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7F26" w:rsidRPr="00B22E57" w:rsidTr="004A358B">
        <w:tc>
          <w:tcPr>
            <w:tcW w:w="4785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Порядку применения </w:t>
            </w:r>
          </w:p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бюджетной классификации </w:t>
            </w:r>
          </w:p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Российской Федерации в части, </w:t>
            </w:r>
          </w:p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относящейся</w:t>
            </w:r>
            <w:proofErr w:type="gramEnd"/>
            <w:r w:rsidRPr="00B22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бюджету </w:t>
            </w:r>
          </w:p>
          <w:p w:rsidR="00C07F26" w:rsidRPr="00B22E57" w:rsidRDefault="00453730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</w:tbl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2E57">
        <w:rPr>
          <w:rFonts w:ascii="Times New Roman" w:hAnsi="Times New Roman" w:cs="Times New Roman"/>
          <w:sz w:val="20"/>
          <w:szCs w:val="20"/>
        </w:rPr>
        <w:t xml:space="preserve">Перечень кодов статей, подстатей (элементов) расходов </w:t>
      </w:r>
      <w:r w:rsidRPr="00B22E57">
        <w:rPr>
          <w:rFonts w:ascii="Times New Roman" w:hAnsi="Times New Roman" w:cs="Times New Roman"/>
          <w:sz w:val="20"/>
          <w:szCs w:val="20"/>
        </w:rPr>
        <w:br/>
        <w:t>операций сектора государственного управления с дополнительной детализацией</w:t>
      </w:r>
    </w:p>
    <w:tbl>
      <w:tblPr>
        <w:tblW w:w="9241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8164"/>
      </w:tblGrid>
      <w:tr w:rsidR="00C07F26" w:rsidRPr="00B22E57" w:rsidTr="004A358B">
        <w:trPr>
          <w:trHeight w:val="659"/>
        </w:trPr>
        <w:tc>
          <w:tcPr>
            <w:tcW w:w="1077" w:type="dxa"/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</w:tbl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1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077"/>
        <w:gridCol w:w="8164"/>
        <w:gridCol w:w="370"/>
      </w:tblGrid>
      <w:tr w:rsidR="00C07F26" w:rsidRPr="00B22E57" w:rsidTr="004A358B">
        <w:trPr>
          <w:cantSplit/>
          <w:trHeight w:val="142"/>
          <w:tblHeader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223.1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Оплата услуг предоставления тепловой энергии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223.2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Оплата услуг печного отопления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223.3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Оплата услуг горячего водоснабжения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223.4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Оплата услуг холодного водоснабжения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223.5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Оплата услуг предоставления газа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223.6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223.7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223.8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Другие расходы по оплате коммунальных услуг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223.9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proofErr w:type="spellStart"/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B22E57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(контрактов)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73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223.9.1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 оплату </w:t>
            </w:r>
            <w:proofErr w:type="spellStart"/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B22E57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(контрактов) </w:t>
            </w:r>
            <w:r w:rsidRPr="00B22E57">
              <w:rPr>
                <w:rFonts w:ascii="Times New Roman" w:hAnsi="Times New Roman" w:cs="Times New Roman"/>
                <w:sz w:val="20"/>
                <w:szCs w:val="20"/>
              </w:rPr>
              <w:br/>
              <w:t>за счет экономии расходов на оплату услуг предоставления тепловой энергии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223.9.2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 оплату </w:t>
            </w:r>
            <w:proofErr w:type="spellStart"/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B22E57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(контрактов) </w:t>
            </w:r>
            <w:r w:rsidRPr="00B22E57">
              <w:rPr>
                <w:rFonts w:ascii="Times New Roman" w:hAnsi="Times New Roman" w:cs="Times New Roman"/>
                <w:sz w:val="20"/>
                <w:szCs w:val="20"/>
              </w:rPr>
              <w:br/>
              <w:t>за счет экономии расходов на оплату услуг печного отопления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223.9.3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 оплату </w:t>
            </w:r>
            <w:proofErr w:type="spellStart"/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B22E57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(контрактов) за счет экономии расходов на оплату услуг горячего водоснабжения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223.9.4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 оплату </w:t>
            </w:r>
            <w:proofErr w:type="spellStart"/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B22E57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</w:t>
            </w:r>
            <w:r w:rsidRPr="00B22E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(контрактов) за счет экономии расходов на оплату услуг </w:t>
            </w:r>
            <w:r w:rsidRPr="00B22E57">
              <w:rPr>
                <w:rFonts w:ascii="Times New Roman" w:hAnsi="Times New Roman" w:cs="Times New Roman"/>
                <w:sz w:val="20"/>
                <w:szCs w:val="20"/>
              </w:rPr>
              <w:br/>
              <w:t>холодного водоснабжения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223.9.5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 оплату </w:t>
            </w:r>
            <w:proofErr w:type="spellStart"/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B22E57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(контрактов) </w:t>
            </w:r>
            <w:r w:rsidRPr="00B22E57">
              <w:rPr>
                <w:rFonts w:ascii="Times New Roman" w:hAnsi="Times New Roman" w:cs="Times New Roman"/>
                <w:sz w:val="20"/>
                <w:szCs w:val="20"/>
              </w:rPr>
              <w:br/>
              <w:t>за счет экономии расходов на оплату услуг предоставления газа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223.9.6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 оплату </w:t>
            </w:r>
            <w:proofErr w:type="spellStart"/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B22E57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(контрактов) </w:t>
            </w:r>
            <w:r w:rsidRPr="00B22E57">
              <w:rPr>
                <w:rFonts w:ascii="Times New Roman" w:hAnsi="Times New Roman" w:cs="Times New Roman"/>
                <w:sz w:val="20"/>
                <w:szCs w:val="20"/>
              </w:rPr>
              <w:br/>
              <w:t>за счет экономии расходов на оплату услуг предоставления электроэнергии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Работы, услуги по содержанию имущества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225.1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Содержание нефинансовых активов в чистоте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225.2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Текущий ремонт (ремонт)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225.3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225.4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 содержанием имущества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225.5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225.6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Другие расходы по содержанию имущества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226.1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226.2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226.3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Проектные и изыскательские работы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226.4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226.5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 охране 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226.7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Услуги в области информационных технологий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226.8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Типографские работы, услуги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226.9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Медицинские услуги и санитарно-эпидемиологические работы </w:t>
            </w:r>
            <w:r w:rsidRPr="00B22E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услуги 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226.10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Иные работы и услуги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другим бюджетам бюджетной системы </w:t>
            </w:r>
            <w:r w:rsidRPr="00B22E57"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251.1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другим бюджетам бюджетной системы </w:t>
            </w:r>
            <w:r w:rsidRPr="00B22E57"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 (для исключения внутренних оборотов)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251.2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другим бюджетам бюджетной системы </w:t>
            </w:r>
            <w:r w:rsidRPr="00B22E57"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 (ТФОМС)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251.3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другим бюджетам бюджетной системы </w:t>
            </w:r>
            <w:r w:rsidRPr="00B22E57"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 (не исключаемые из внутренних оборотов)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средств, осуществляемое </w:t>
            </w:r>
            <w:r w:rsidRPr="00B22E57">
              <w:rPr>
                <w:rFonts w:ascii="Times New Roman" w:hAnsi="Times New Roman" w:cs="Times New Roman"/>
                <w:sz w:val="20"/>
                <w:szCs w:val="20"/>
              </w:rPr>
              <w:br/>
              <w:t>в рамках бюджетных инвестиций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Иные расходы, связанные с увеличением стоимости основных средств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343.1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топливно-энергетических ресурсов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343.2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горюче-смазочных материалов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Сводные расходы, формируемые в рамках аналитики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26" w:rsidRPr="00B22E57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999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B22E57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E5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C07F26" w:rsidRPr="00C07F26" w:rsidRDefault="00C07F26" w:rsidP="00C07F26">
      <w:pPr>
        <w:rPr>
          <w:rFonts w:ascii="Times New Roman" w:hAnsi="Times New Roman" w:cs="Times New Roman"/>
          <w:lang w:eastAsia="ru-RU"/>
        </w:rPr>
        <w:sectPr w:rsidR="00C07F26" w:rsidRPr="00C07F26" w:rsidSect="004A358B">
          <w:pgSz w:w="11906" w:h="16838"/>
          <w:pgMar w:top="1134" w:right="424" w:bottom="1134" w:left="1701" w:header="709" w:footer="709" w:gutter="0"/>
          <w:cols w:space="708"/>
          <w:docGrid w:linePitch="360"/>
        </w:sectPr>
      </w:pPr>
    </w:p>
    <w:p w:rsidR="00C07F26" w:rsidRPr="00C07F26" w:rsidRDefault="00C07F26" w:rsidP="00C07F26">
      <w:pPr>
        <w:rPr>
          <w:rFonts w:ascii="Times New Roman" w:hAnsi="Times New Roman" w:cs="Times New Roman"/>
          <w:lang w:eastAsia="ru-RU"/>
        </w:rPr>
      </w:pPr>
    </w:p>
    <w:p w:rsidR="00C07F26" w:rsidRPr="00C07F26" w:rsidRDefault="00C07F26" w:rsidP="00C07F26">
      <w:pPr>
        <w:rPr>
          <w:rFonts w:ascii="Times New Roman" w:hAnsi="Times New Roman" w:cs="Times New Roman"/>
          <w:lang w:eastAsia="ru-RU"/>
        </w:rPr>
      </w:pPr>
    </w:p>
    <w:p w:rsidR="00C07F26" w:rsidRPr="00C07F26" w:rsidRDefault="00C07F26" w:rsidP="00C07F26">
      <w:pPr>
        <w:rPr>
          <w:rFonts w:ascii="Times New Roman" w:hAnsi="Times New Roman" w:cs="Times New Roman"/>
          <w:lang w:eastAsia="ru-RU"/>
        </w:rPr>
      </w:pPr>
    </w:p>
    <w:p w:rsidR="00C07F26" w:rsidRPr="00C07F26" w:rsidRDefault="00C07F26" w:rsidP="00C07F26">
      <w:pPr>
        <w:rPr>
          <w:rFonts w:ascii="Times New Roman" w:hAnsi="Times New Roman" w:cs="Times New Roman"/>
          <w:lang w:eastAsia="ru-RU"/>
        </w:rPr>
      </w:pPr>
    </w:p>
    <w:p w:rsidR="00C07F26" w:rsidRPr="00C07F26" w:rsidRDefault="00C07F26" w:rsidP="00C07F26">
      <w:pPr>
        <w:rPr>
          <w:rFonts w:ascii="Times New Roman" w:hAnsi="Times New Roman" w:cs="Times New Roman"/>
          <w:lang w:eastAsia="ru-RU"/>
        </w:rPr>
      </w:pPr>
    </w:p>
    <w:p w:rsidR="00C07F26" w:rsidRPr="00C07F26" w:rsidRDefault="00C07F26" w:rsidP="00C07F26">
      <w:pPr>
        <w:rPr>
          <w:rFonts w:ascii="Times New Roman" w:hAnsi="Times New Roman" w:cs="Times New Roman"/>
          <w:lang w:eastAsia="ru-RU"/>
        </w:rPr>
      </w:pPr>
    </w:p>
    <w:p w:rsidR="00C07F26" w:rsidRPr="00C07F26" w:rsidRDefault="00C07F26" w:rsidP="00C07F26">
      <w:pPr>
        <w:rPr>
          <w:rFonts w:ascii="Times New Roman" w:hAnsi="Times New Roman" w:cs="Times New Roman"/>
          <w:lang w:eastAsia="ru-RU"/>
        </w:rPr>
      </w:pPr>
    </w:p>
    <w:p w:rsidR="00C07F26" w:rsidRPr="00C07F26" w:rsidRDefault="00C07F26" w:rsidP="00C07F26">
      <w:pPr>
        <w:rPr>
          <w:rFonts w:ascii="Times New Roman" w:hAnsi="Times New Roman" w:cs="Times New Roman"/>
          <w:lang w:eastAsia="ru-RU"/>
        </w:rPr>
      </w:pPr>
    </w:p>
    <w:p w:rsidR="00C07F26" w:rsidRPr="00C07F26" w:rsidRDefault="00C07F26" w:rsidP="00C07F26">
      <w:pPr>
        <w:rPr>
          <w:rFonts w:ascii="Times New Roman" w:hAnsi="Times New Roman" w:cs="Times New Roman"/>
          <w:lang w:eastAsia="ru-RU"/>
        </w:rPr>
      </w:pPr>
    </w:p>
    <w:p w:rsidR="00C07F26" w:rsidRPr="00C07F26" w:rsidRDefault="00C07F26" w:rsidP="00C07F26">
      <w:pPr>
        <w:rPr>
          <w:rFonts w:ascii="Times New Roman" w:hAnsi="Times New Roman" w:cs="Times New Roman"/>
          <w:lang w:eastAsia="ru-RU"/>
        </w:rPr>
      </w:pPr>
    </w:p>
    <w:p w:rsidR="00C07F26" w:rsidRPr="00C07F26" w:rsidRDefault="00C07F26" w:rsidP="00C07F26">
      <w:pPr>
        <w:rPr>
          <w:rFonts w:ascii="Times New Roman" w:hAnsi="Times New Roman" w:cs="Times New Roman"/>
          <w:lang w:eastAsia="ru-RU"/>
        </w:rPr>
      </w:pPr>
    </w:p>
    <w:p w:rsidR="00C07F26" w:rsidRPr="00C07F26" w:rsidRDefault="00C07F26" w:rsidP="00C07F26">
      <w:pPr>
        <w:rPr>
          <w:rFonts w:ascii="Times New Roman" w:hAnsi="Times New Roman" w:cs="Times New Roman"/>
          <w:lang w:eastAsia="ru-RU"/>
        </w:rPr>
      </w:pPr>
    </w:p>
    <w:p w:rsidR="00C07F26" w:rsidRPr="00C07F26" w:rsidRDefault="00C07F26" w:rsidP="00C07F26">
      <w:pPr>
        <w:rPr>
          <w:rFonts w:ascii="Times New Roman" w:hAnsi="Times New Roman" w:cs="Times New Roman"/>
          <w:lang w:eastAsia="ru-RU"/>
        </w:rPr>
      </w:pPr>
    </w:p>
    <w:p w:rsidR="00C07F26" w:rsidRPr="00C07F26" w:rsidRDefault="00C07F26" w:rsidP="00C07F26">
      <w:pPr>
        <w:rPr>
          <w:rFonts w:ascii="Times New Roman" w:hAnsi="Times New Roman" w:cs="Times New Roman"/>
          <w:lang w:eastAsia="ru-RU"/>
        </w:rPr>
      </w:pPr>
    </w:p>
    <w:p w:rsidR="00C07F26" w:rsidRPr="00C07F26" w:rsidRDefault="00C07F26" w:rsidP="00C07F26">
      <w:pPr>
        <w:rPr>
          <w:rFonts w:ascii="Times New Roman" w:hAnsi="Times New Roman" w:cs="Times New Roman"/>
          <w:lang w:eastAsia="ru-RU"/>
        </w:rPr>
      </w:pPr>
    </w:p>
    <w:p w:rsidR="00C07F26" w:rsidRPr="00C07F26" w:rsidRDefault="00C07F26" w:rsidP="00C07F26">
      <w:pPr>
        <w:rPr>
          <w:rFonts w:ascii="Times New Roman" w:hAnsi="Times New Roman" w:cs="Times New Roman"/>
          <w:lang w:eastAsia="ru-RU"/>
        </w:rPr>
      </w:pPr>
    </w:p>
    <w:p w:rsidR="00C07F26" w:rsidRPr="00C07F26" w:rsidRDefault="00C07F26" w:rsidP="00C07F26">
      <w:pPr>
        <w:rPr>
          <w:rFonts w:ascii="Times New Roman" w:hAnsi="Times New Roman" w:cs="Times New Roman"/>
        </w:rPr>
      </w:pPr>
      <w:r w:rsidRPr="00C07F26">
        <w:rPr>
          <w:rFonts w:ascii="Times New Roman" w:hAnsi="Times New Roman" w:cs="Times New Roman"/>
          <w:lang w:eastAsia="ru-RU"/>
        </w:rPr>
        <w:br/>
      </w:r>
    </w:p>
    <w:p w:rsidR="0089389A" w:rsidRPr="00C07F26" w:rsidRDefault="0089389A">
      <w:pPr>
        <w:rPr>
          <w:rFonts w:ascii="Times New Roman" w:hAnsi="Times New Roman" w:cs="Times New Roman"/>
        </w:rPr>
      </w:pPr>
    </w:p>
    <w:sectPr w:rsidR="0089389A" w:rsidRPr="00C0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C9" w:rsidRDefault="00633DC9" w:rsidP="00C07F26">
      <w:pPr>
        <w:spacing w:after="0" w:line="240" w:lineRule="auto"/>
      </w:pPr>
      <w:r>
        <w:separator/>
      </w:r>
    </w:p>
  </w:endnote>
  <w:endnote w:type="continuationSeparator" w:id="0">
    <w:p w:rsidR="00633DC9" w:rsidRDefault="00633DC9" w:rsidP="00C0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EB" w:rsidRPr="00C07F26" w:rsidRDefault="00E275EB" w:rsidP="00C07F26">
    <w:r w:rsidRPr="00C07F2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C9" w:rsidRDefault="00633DC9" w:rsidP="00C07F26">
      <w:pPr>
        <w:spacing w:after="0" w:line="240" w:lineRule="auto"/>
      </w:pPr>
      <w:r>
        <w:separator/>
      </w:r>
    </w:p>
  </w:footnote>
  <w:footnote w:type="continuationSeparator" w:id="0">
    <w:p w:rsidR="00633DC9" w:rsidRDefault="00633DC9" w:rsidP="00C07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BC"/>
    <w:rsid w:val="000A7992"/>
    <w:rsid w:val="0013399D"/>
    <w:rsid w:val="003512BC"/>
    <w:rsid w:val="00453730"/>
    <w:rsid w:val="004A358B"/>
    <w:rsid w:val="005336F3"/>
    <w:rsid w:val="00633DC9"/>
    <w:rsid w:val="0089389A"/>
    <w:rsid w:val="009E74A8"/>
    <w:rsid w:val="00B22E57"/>
    <w:rsid w:val="00C07F26"/>
    <w:rsid w:val="00D915DA"/>
    <w:rsid w:val="00E275EB"/>
    <w:rsid w:val="00EA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F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7F26"/>
  </w:style>
  <w:style w:type="paragraph" w:styleId="a7">
    <w:name w:val="footer"/>
    <w:basedOn w:val="a"/>
    <w:link w:val="a8"/>
    <w:uiPriority w:val="99"/>
    <w:unhideWhenUsed/>
    <w:rsid w:val="00C0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F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7F26"/>
  </w:style>
  <w:style w:type="paragraph" w:styleId="a7">
    <w:name w:val="footer"/>
    <w:basedOn w:val="a"/>
    <w:link w:val="a8"/>
    <w:uiPriority w:val="99"/>
    <w:unhideWhenUsed/>
    <w:rsid w:val="00C0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BE5AED03A3704D47A5BF982DA8EF96FB5F8507024FB0DB476B7896OFS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0BE5AED03A3704D47A5BF982DA8EF96FB5F8507024FB0DB476B7896OF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31</Pages>
  <Words>10658</Words>
  <Characters>60754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2020-02-04T10:28:00Z</cp:lastPrinted>
  <dcterms:created xsi:type="dcterms:W3CDTF">2020-02-04T07:53:00Z</dcterms:created>
  <dcterms:modified xsi:type="dcterms:W3CDTF">2020-02-07T06:38:00Z</dcterms:modified>
</cp:coreProperties>
</file>